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B9" w:rsidRPr="009376A8" w:rsidRDefault="00D91A91" w:rsidP="00F37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Supplementary Materials</w:t>
      </w:r>
    </w:p>
    <w:p w:rsidR="00F37BB9" w:rsidRDefault="00F37BB9" w:rsidP="00F37BB9">
      <w:pPr>
        <w:jc w:val="center"/>
        <w:rPr>
          <w:rFonts w:ascii="Times New Roman" w:hAnsi="Times New Roman" w:cs="Times New Roman"/>
        </w:rPr>
      </w:pPr>
    </w:p>
    <w:p w:rsidR="0077107D" w:rsidRDefault="0077107D" w:rsidP="00F37BB9">
      <w:pPr>
        <w:rPr>
          <w:rFonts w:ascii="Times New Roman" w:hAnsi="Times New Roman" w:cs="Times New Roman"/>
          <w:b/>
        </w:rPr>
      </w:pPr>
    </w:p>
    <w:p w:rsidR="0077107D" w:rsidRDefault="0077107D">
      <w:pPr>
        <w:rPr>
          <w:rFonts w:ascii="Times New Roman" w:hAnsi="Times New Roman" w:cs="Times New Roman"/>
          <w:b/>
        </w:rPr>
      </w:pPr>
    </w:p>
    <w:p w:rsidR="00274A5F" w:rsidRDefault="00274A5F" w:rsidP="00274A5F">
      <w:pPr>
        <w:jc w:val="center"/>
        <w:rPr>
          <w:rFonts w:ascii="Times New Roman" w:hAnsi="Times New Roman" w:cs="Times New Roman"/>
        </w:rPr>
      </w:pPr>
    </w:p>
    <w:p w:rsidR="00274A5F" w:rsidRDefault="00274A5F" w:rsidP="00274A5F">
      <w:pPr>
        <w:rPr>
          <w:rFonts w:ascii="Times New Roman" w:hAnsi="Times New Roman" w:cs="Times New Roman"/>
          <w:b/>
        </w:rPr>
      </w:pPr>
      <w:r w:rsidRPr="00F37BB9">
        <w:rPr>
          <w:rFonts w:ascii="Times New Roman" w:hAnsi="Times New Roman" w:cs="Times New Roman"/>
          <w:b/>
        </w:rPr>
        <w:t>TABLE 1</w:t>
      </w:r>
    </w:p>
    <w:p w:rsidR="00274A5F" w:rsidRPr="00F37BB9" w:rsidRDefault="00274A5F" w:rsidP="00274A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Demographic, clinical, pathological </w:t>
      </w:r>
      <w:proofErr w:type="gramStart"/>
      <w:r>
        <w:rPr>
          <w:rFonts w:ascii="Times New Roman" w:hAnsi="Times New Roman" w:cs="Times New Roman"/>
          <w:b/>
        </w:rPr>
        <w:t xml:space="preserve">and </w:t>
      </w:r>
      <w:r w:rsidR="0098675D">
        <w:rPr>
          <w:rFonts w:ascii="Times New Roman" w:hAnsi="Times New Roman" w:cs="Times New Roman"/>
          <w:b/>
        </w:rPr>
        <w:t xml:space="preserve"> α</w:t>
      </w:r>
      <w:proofErr w:type="gramEnd"/>
      <w:r w:rsidR="0098675D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synuclein </w:t>
      </w:r>
      <w:proofErr w:type="spellStart"/>
      <w:r>
        <w:rPr>
          <w:rFonts w:ascii="Times New Roman" w:hAnsi="Times New Roman" w:cs="Times New Roman"/>
          <w:b/>
        </w:rPr>
        <w:t>immunostain</w:t>
      </w:r>
      <w:proofErr w:type="spellEnd"/>
      <w:r>
        <w:rPr>
          <w:rFonts w:ascii="Times New Roman" w:hAnsi="Times New Roman" w:cs="Times New Roman"/>
          <w:b/>
        </w:rPr>
        <w:t xml:space="preserve"> data from 42 pediatric endoscopic biopsies</w:t>
      </w:r>
      <w:r w:rsidR="0098675D">
        <w:rPr>
          <w:rFonts w:ascii="Times New Roman" w:hAnsi="Times New Roman" w:cs="Times New Roman"/>
          <w:b/>
        </w:rPr>
        <w:t xml:space="preserve"> ordered with respect to α-synuclein score </w:t>
      </w:r>
    </w:p>
    <w:tbl>
      <w:tblPr>
        <w:tblW w:w="892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046"/>
        <w:gridCol w:w="1454"/>
        <w:gridCol w:w="1454"/>
        <w:gridCol w:w="1156"/>
        <w:gridCol w:w="1417"/>
      </w:tblGrid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Sex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Clinical history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Acute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inflammation 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Chronic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inflammation score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Infection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α-S</w:t>
            </w:r>
            <w:r w:rsidRPr="0098675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ynuclein  score</w:t>
            </w:r>
          </w:p>
        </w:tc>
      </w:tr>
      <w:tr w:rsidR="0098675D" w:rsidRPr="0098675D" w:rsidTr="0098675D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Abdominal pain, diarrhea, blood in stool and nausea, positive H. pylori serology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Abdominal pain;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Chronic chest pain; chronic heartburn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Failure to thrive, cerebral palsy,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Hematemesis;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Diarrhea, abdominal pain; esophagus/ stomach/duodenum appeared normal on EGD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5.67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Rectal bleeding, bloody stools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Weight loss; diarrhea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Abdominal pain, vomiting, </w:t>
            </w:r>
            <w:proofErr w:type="spellStart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epigastric</w:t>
            </w:r>
            <w:proofErr w:type="spellEnd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pain,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15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Upper gastro-intestinal bleed, duodenal ulcer,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Dysphagia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H.  </w:t>
            </w:r>
            <w:proofErr w:type="spellStart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heilmannii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Abdominal pain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Nausea, vomiting, diarrhea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Epigastric</w:t>
            </w:r>
            <w:proofErr w:type="spellEnd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pain, vomiting;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Bloating; diarrhea;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Abdominal pain; vomiting; severe peptic acid disease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2.42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Hematemesis, melena, Kawasaki's disease; ulceration in stomach and duodenum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1.58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Vomiting, white plaque on esophagus; stomach and duodenum appeared normal on EGD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C. albicans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Gastritis; esophagus and duodenum appeared normal on EGD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Dyspepsia; mild gastric erythema; esophagus and duodenum appeared normal on EGD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Abdominal pain, nausea, vomiting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Abdominal pain; </w:t>
            </w:r>
            <w:proofErr w:type="spellStart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fundic</w:t>
            </w:r>
            <w:proofErr w:type="spellEnd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polyp; esophagus, stomach and duodenum appeared normal on EGD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Diarrhea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13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Vomiting, abdominal pain, nausea, vomiting; abdominal pain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Abdominal pain, emesis, vomiting, gastric erythema; H. pylori versus NSAID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Nausea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Abdominal pain, nausea, vomiting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Abdominal pain, weight loss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Abdominal pain; chronic </w:t>
            </w:r>
            <w:proofErr w:type="spellStart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granulo</w:t>
            </w:r>
            <w:proofErr w:type="spellEnd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matous</w:t>
            </w:r>
            <w:proofErr w:type="spellEnd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disease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Vomiting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2.5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Persistent vomiting; esophagitis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Iron deficiency anemia;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Crohn's</w:t>
            </w:r>
            <w:proofErr w:type="spellEnd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disease; unexplained anemia; linear duodenal ulcers; gastric mucosa thickening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Hematemesis; esophagitis;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Vomiting, abdominal pain; positive H. pylori breath test; nodular 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Gastritis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Weight loss, diarrhea, vomiting, scleroderma, feeding intolerance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C. albicans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2.17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Respiratory distress/hypoxia, failure to thrive, diarrhea, hypo-</w:t>
            </w:r>
            <w:proofErr w:type="spellStart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albuminemia</w:t>
            </w:r>
            <w:proofErr w:type="spellEnd"/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rectal bleeding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Rectal bleeding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Diarrhea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Dysphagia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675D" w:rsidRPr="0098675D" w:rsidTr="0098675D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Hematemesis; melena; hemoglobin 6.9; large duodenal ulcer in bulb; nodular gastropathy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 pylori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5D" w:rsidRPr="0098675D" w:rsidRDefault="0098675D" w:rsidP="0098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67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3E7C8C" w:rsidRDefault="003E7C8C" w:rsidP="00AC6301">
      <w:pPr>
        <w:rPr>
          <w:rFonts w:ascii="Times New Roman" w:hAnsi="Times New Roman" w:cs="Times New Roman"/>
          <w:b/>
        </w:rPr>
      </w:pPr>
    </w:p>
    <w:p w:rsidR="007B0F82" w:rsidRDefault="007B0F82" w:rsidP="00AC63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TABLE 1 LEGEND </w:t>
      </w:r>
    </w:p>
    <w:p w:rsidR="00AC6301" w:rsidRPr="00AB7BB4" w:rsidRDefault="007B0F82" w:rsidP="00AC630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Demographic, clinical, pathological and </w:t>
      </w:r>
      <w:r w:rsidR="00D91A91" w:rsidRPr="00D91A91">
        <w:rPr>
          <w:rFonts w:ascii="Times New Roman" w:hAnsi="Times New Roman"/>
          <w:b/>
        </w:rPr>
        <w:t>α-</w:t>
      </w:r>
      <w:r w:rsidRPr="00D91A91">
        <w:rPr>
          <w:rFonts w:ascii="Times New Roman" w:hAnsi="Times New Roman" w:cs="Times New Roman"/>
          <w:b/>
        </w:rPr>
        <w:t>synuclein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immunostain</w:t>
      </w:r>
      <w:proofErr w:type="spellEnd"/>
      <w:r>
        <w:rPr>
          <w:rFonts w:ascii="Times New Roman" w:hAnsi="Times New Roman" w:cs="Times New Roman"/>
          <w:b/>
        </w:rPr>
        <w:t xml:space="preserve"> data from 42 pediatric endoscopic biopsies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AC6301" w:rsidRPr="00AB7BB4">
        <w:rPr>
          <w:rFonts w:ascii="Times New Roman" w:hAnsi="Times New Roman" w:cs="Times New Roman"/>
        </w:rPr>
        <w:t xml:space="preserve">Pediatric cases were selected with </w:t>
      </w:r>
      <w:r w:rsidR="00AC6301" w:rsidRPr="00A84EAE">
        <w:rPr>
          <w:rFonts w:ascii="Times New Roman" w:hAnsi="Times New Roman" w:cs="Times New Roman"/>
        </w:rPr>
        <w:t xml:space="preserve">pathological </w:t>
      </w:r>
      <w:r w:rsidR="00AB7BB4" w:rsidRPr="00A84EAE">
        <w:rPr>
          <w:rFonts w:ascii="Times New Roman" w:hAnsi="Times New Roman" w:cs="Times New Roman"/>
        </w:rPr>
        <w:t>and/</w:t>
      </w:r>
      <w:r w:rsidR="00AC6301" w:rsidRPr="00A84EAE">
        <w:rPr>
          <w:rFonts w:ascii="Times New Roman" w:hAnsi="Times New Roman" w:cs="Times New Roman"/>
        </w:rPr>
        <w:t xml:space="preserve">or clinical diagnoses of gastritis, duodenitis, </w:t>
      </w:r>
      <w:r w:rsidR="00AC6301" w:rsidRPr="00A84EAE">
        <w:rPr>
          <w:rFonts w:ascii="Times New Roman" w:hAnsi="Times New Roman" w:cs="Times New Roman"/>
          <w:i/>
        </w:rPr>
        <w:t>H. pylori</w:t>
      </w:r>
      <w:r w:rsidR="002971EC">
        <w:rPr>
          <w:rFonts w:ascii="Times New Roman" w:hAnsi="Times New Roman" w:cs="Times New Roman"/>
        </w:rPr>
        <w:t>, and</w:t>
      </w:r>
      <w:r w:rsidR="00AC6301" w:rsidRPr="00A84EAE">
        <w:rPr>
          <w:rFonts w:ascii="Times New Roman" w:hAnsi="Times New Roman" w:cs="Times New Roman"/>
        </w:rPr>
        <w:t xml:space="preserve"> gastropathy.  </w:t>
      </w:r>
      <w:r w:rsidR="00AB7BB4" w:rsidRPr="00A84EAE">
        <w:rPr>
          <w:rFonts w:ascii="Times New Roman" w:hAnsi="Times New Roman" w:cs="Times New Roman"/>
        </w:rPr>
        <w:t xml:space="preserve">Slides were stained with </w:t>
      </w:r>
      <w:r w:rsidR="00AB7BB4" w:rsidRPr="006D1F17">
        <w:rPr>
          <w:rFonts w:ascii="Times New Roman" w:hAnsi="Times New Roman" w:cs="Times New Roman"/>
        </w:rPr>
        <w:t xml:space="preserve">α-synuclein and scored </w:t>
      </w:r>
      <w:r w:rsidR="00F10756">
        <w:rPr>
          <w:rFonts w:ascii="Times New Roman" w:hAnsi="Times New Roman" w:cs="Times New Roman"/>
        </w:rPr>
        <w:t xml:space="preserve">for </w:t>
      </w:r>
      <w:r w:rsidR="00AB7BB4" w:rsidRPr="006D1F17">
        <w:rPr>
          <w:rFonts w:ascii="Times New Roman" w:hAnsi="Times New Roman" w:cs="Times New Roman"/>
        </w:rPr>
        <w:t xml:space="preserve">by two pathologists for </w:t>
      </w:r>
      <w:r w:rsidR="00AB7BB4" w:rsidRPr="00AB7BB4">
        <w:rPr>
          <w:rFonts w:ascii="Times New Roman" w:hAnsi="Times New Roman"/>
        </w:rPr>
        <w:t>neurite α-synuclein</w:t>
      </w:r>
      <w:r w:rsidR="00AB7BB4" w:rsidRPr="00A84EAE">
        <w:rPr>
          <w:rFonts w:ascii="Times New Roman" w:hAnsi="Times New Roman"/>
        </w:rPr>
        <w:t xml:space="preserve"> presence and intensity</w:t>
      </w:r>
      <w:r w:rsidR="00F10756">
        <w:rPr>
          <w:rFonts w:ascii="Times New Roman" w:hAnsi="Times New Roman"/>
        </w:rPr>
        <w:t xml:space="preserve">, as well as inflammation </w:t>
      </w:r>
      <w:r w:rsidR="00AB7BB4" w:rsidRPr="00A84EAE">
        <w:rPr>
          <w:rFonts w:ascii="Times New Roman" w:hAnsi="Times New Roman"/>
        </w:rPr>
        <w:t xml:space="preserve"> as follows: 1, slight</w:t>
      </w:r>
      <w:r w:rsidR="003E7C8C">
        <w:rPr>
          <w:rFonts w:ascii="Times New Roman" w:hAnsi="Times New Roman"/>
        </w:rPr>
        <w:t>; 2, moderate; 3</w:t>
      </w:r>
      <w:r w:rsidR="00AB7BB4" w:rsidRPr="00A84EAE">
        <w:rPr>
          <w:rFonts w:ascii="Times New Roman" w:hAnsi="Times New Roman"/>
        </w:rPr>
        <w:t xml:space="preserve">, high. </w:t>
      </w:r>
      <w:r w:rsidR="00F10756">
        <w:rPr>
          <w:rFonts w:ascii="Times New Roman" w:hAnsi="Times New Roman"/>
        </w:rPr>
        <w:t>Acute and chronic i</w:t>
      </w:r>
      <w:r w:rsidR="00F10756">
        <w:rPr>
          <w:rFonts w:ascii="Times New Roman" w:hAnsi="Times New Roman" w:cs="Times New Roman"/>
        </w:rPr>
        <w:t xml:space="preserve">nflammation was scored as 1, slight; 2, moderate; 3, intense, based on the degree of infiltration of neutrophils or mononuclear cells, respectively.  </w:t>
      </w:r>
      <w:proofErr w:type="gramStart"/>
      <w:r w:rsidR="00F10756" w:rsidRPr="006D1F17">
        <w:rPr>
          <w:rFonts w:ascii="Times New Roman" w:hAnsi="Times New Roman" w:cs="Times New Roman"/>
        </w:rPr>
        <w:t>α-synuclein</w:t>
      </w:r>
      <w:proofErr w:type="gramEnd"/>
      <w:r w:rsidR="00F10756">
        <w:rPr>
          <w:rFonts w:ascii="Times New Roman" w:hAnsi="Times New Roman" w:cs="Times New Roman"/>
        </w:rPr>
        <w:t xml:space="preserve"> and inflammation </w:t>
      </w:r>
      <w:r w:rsidR="00F10756" w:rsidRPr="006D1F17">
        <w:rPr>
          <w:rFonts w:ascii="Times New Roman" w:hAnsi="Times New Roman" w:cs="Times New Roman"/>
        </w:rPr>
        <w:t xml:space="preserve"> score</w:t>
      </w:r>
      <w:r w:rsidR="00F10756">
        <w:rPr>
          <w:rFonts w:ascii="Times New Roman" w:hAnsi="Times New Roman" w:cs="Times New Roman"/>
        </w:rPr>
        <w:t xml:space="preserve">s are </w:t>
      </w:r>
      <w:r w:rsidR="00F10756" w:rsidRPr="00AB7BB4">
        <w:rPr>
          <w:rFonts w:ascii="Times New Roman" w:hAnsi="Times New Roman" w:cs="Times New Roman"/>
        </w:rPr>
        <w:t xml:space="preserve">the average of the two </w:t>
      </w:r>
      <w:r w:rsidR="00F10756" w:rsidRPr="00A84EAE">
        <w:rPr>
          <w:rFonts w:ascii="Times New Roman" w:hAnsi="Times New Roman" w:cs="Times New Roman"/>
        </w:rPr>
        <w:t>readings</w:t>
      </w:r>
      <w:r w:rsidR="00F10756">
        <w:rPr>
          <w:rFonts w:ascii="Times New Roman" w:hAnsi="Times New Roman" w:cs="Times New Roman"/>
        </w:rPr>
        <w:t xml:space="preserve">. </w:t>
      </w:r>
    </w:p>
    <w:p w:rsidR="00AC6301" w:rsidRDefault="00AC6301" w:rsidP="00F37BB9">
      <w:pPr>
        <w:rPr>
          <w:rFonts w:ascii="Times New Roman" w:hAnsi="Times New Roman" w:cs="Times New Roman"/>
        </w:rPr>
      </w:pPr>
    </w:p>
    <w:p w:rsidR="00503162" w:rsidRDefault="00503162" w:rsidP="00F37BB9">
      <w:pPr>
        <w:rPr>
          <w:rFonts w:ascii="Times New Roman" w:hAnsi="Times New Roman" w:cs="Times New Roman"/>
        </w:rPr>
      </w:pPr>
    </w:p>
    <w:p w:rsidR="00503162" w:rsidRDefault="00503162" w:rsidP="00F37BB9">
      <w:pPr>
        <w:rPr>
          <w:rFonts w:ascii="Times New Roman" w:hAnsi="Times New Roman" w:cs="Times New Roman"/>
        </w:rPr>
      </w:pPr>
    </w:p>
    <w:p w:rsidR="00AC6301" w:rsidRDefault="00AC6301" w:rsidP="00F37BB9">
      <w:pPr>
        <w:rPr>
          <w:rFonts w:ascii="Times New Roman" w:hAnsi="Times New Roman" w:cs="Times New Roman"/>
        </w:rPr>
      </w:pPr>
    </w:p>
    <w:p w:rsidR="00AC6301" w:rsidRDefault="00AC6301" w:rsidP="00F37BB9">
      <w:pPr>
        <w:rPr>
          <w:rFonts w:ascii="Times New Roman" w:hAnsi="Times New Roman" w:cs="Times New Roman"/>
        </w:rPr>
      </w:pPr>
    </w:p>
    <w:p w:rsidR="00186FD4" w:rsidRDefault="00186FD4" w:rsidP="00F37BB9">
      <w:pPr>
        <w:rPr>
          <w:rFonts w:ascii="Times New Roman" w:hAnsi="Times New Roman" w:cs="Times New Roman"/>
        </w:rPr>
      </w:pPr>
    </w:p>
    <w:p w:rsidR="00186FD4" w:rsidRDefault="00186FD4" w:rsidP="00F37BB9">
      <w:pPr>
        <w:rPr>
          <w:rFonts w:ascii="Times New Roman" w:hAnsi="Times New Roman" w:cs="Times New Roman"/>
        </w:rPr>
      </w:pPr>
    </w:p>
    <w:p w:rsidR="00B17A63" w:rsidRDefault="00B17A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E4E66" w:rsidRPr="00107A37" w:rsidRDefault="00CB5F33" w:rsidP="00F37BB9">
      <w:pPr>
        <w:rPr>
          <w:rFonts w:ascii="Times New Roman" w:hAnsi="Times New Roman" w:cs="Times New Roman"/>
          <w:b/>
        </w:rPr>
      </w:pPr>
      <w:r w:rsidRPr="00107A37">
        <w:rPr>
          <w:rFonts w:ascii="Times New Roman" w:hAnsi="Times New Roman" w:cs="Times New Roman"/>
          <w:b/>
        </w:rPr>
        <w:lastRenderedPageBreak/>
        <w:t xml:space="preserve">TABLE 2A  </w:t>
      </w:r>
    </w:p>
    <w:p w:rsidR="00CB5F33" w:rsidRPr="00107A37" w:rsidRDefault="00CB5F33" w:rsidP="00F37BB9">
      <w:pPr>
        <w:rPr>
          <w:rFonts w:ascii="Times New Roman" w:hAnsi="Times New Roman" w:cs="Times New Roman"/>
          <w:b/>
        </w:rPr>
      </w:pPr>
    </w:p>
    <w:tbl>
      <w:tblPr>
        <w:tblW w:w="978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87"/>
        <w:gridCol w:w="990"/>
        <w:gridCol w:w="900"/>
        <w:gridCol w:w="990"/>
        <w:gridCol w:w="720"/>
        <w:gridCol w:w="1170"/>
        <w:gridCol w:w="2700"/>
        <w:gridCol w:w="1530"/>
      </w:tblGrid>
      <w:tr w:rsidR="006D1F17" w:rsidRPr="00107A37" w:rsidTr="006D1F17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>Patient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>Age at transplant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 xml:space="preserve">Sex </w:t>
            </w:r>
            <w:r w:rsidR="00FA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 xml:space="preserve">of </w:t>
            </w: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>recipient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>Underlying condition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 xml:space="preserve">Donor </w:t>
            </w:r>
            <w:r w:rsidR="00FA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>a</w:t>
            </w: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>ge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2"/>
              </w:rPr>
              <w:t>Organs transplanted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Viral infection timeline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36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Comment</w:t>
            </w:r>
          </w:p>
        </w:tc>
      </w:tr>
      <w:tr w:rsidR="006D1F17" w:rsidRPr="00107A37" w:rsidTr="006D1F17">
        <w:trPr>
          <w:trHeight w:val="386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186FD4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2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Volvulus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0.4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Li/SB/Pa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- 8 y</w:t>
            </w:r>
            <w:r w:rsidR="0019455A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ea</w:t>
            </w:r>
            <w:r w:rsidR="003650C8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Rotavirus (x4) [Rota antigen, stool]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</w:pPr>
          </w:p>
        </w:tc>
      </w:tr>
      <w:tr w:rsidR="006D1F17" w:rsidRPr="00107A37" w:rsidTr="006D1F17">
        <w:trPr>
          <w:trHeight w:val="34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1.5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NEC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+ 2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 [RNA PCR]</w:t>
            </w:r>
          </w:p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E2767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C. </w:t>
            </w:r>
            <w:proofErr w:type="spellStart"/>
            <w:r w:rsidR="003650C8" w:rsidRPr="00E2767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difficile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[C. diff toxin gene PCR, stool]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CMV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[CMV IgG, blood]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6D1F17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Persistent </w:t>
            </w:r>
            <w:proofErr w:type="spellStart"/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 at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follow-up </w:t>
            </w: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biopsy</w:t>
            </w:r>
          </w:p>
        </w:tc>
      </w:tr>
      <w:tr w:rsidR="006D1F17" w:rsidRPr="00107A37" w:rsidTr="006D1F17">
        <w:trPr>
          <w:trHeight w:val="27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15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Volvulus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6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+ 4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 [RNA PCR]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1F545E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="001F54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year: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CMV [CMV IgG, blood]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year: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HHV</w:t>
            </w:r>
            <w:r w:rsidR="00E2767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(IFA antibody panel, blood)</w:t>
            </w:r>
          </w:p>
          <w:p w:rsidR="003650C8" w:rsidRPr="006D6AD5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</w:pP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year</w:t>
            </w:r>
            <w:r w:rsidR="0019455A"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s</w:t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:</w:t>
            </w:r>
            <w:r w:rsidR="00877686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EBV a </w:t>
            </w:r>
            <w:proofErr w:type="spellStart"/>
            <w:r w:rsidR="00877686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nd</w:t>
            </w:r>
            <w:proofErr w:type="spellEnd"/>
            <w:r w:rsidR="00877686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984F95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Rubella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Persistent </w:t>
            </w:r>
            <w:proofErr w:type="spellStart"/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 and persistently high levels of α-synuclein at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follow-up </w:t>
            </w: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biopsy</w:t>
            </w:r>
          </w:p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  <w:p w:rsidR="003650C8" w:rsidRPr="006D1F17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6D1F17" w:rsidRPr="00107A37" w:rsidTr="006D1F17">
        <w:trPr>
          <w:trHeight w:val="34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1.7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Atresia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2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+ 11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 [RNA PCR]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+ 8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Respiratory Syncytial Virus</w:t>
            </w:r>
            <w:r w:rsidR="00D756A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[Respiratory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panel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PCR]</w:t>
            </w:r>
          </w:p>
          <w:p w:rsidR="003650C8" w:rsidRPr="00430F16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+ 2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430F1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virus</w:t>
            </w:r>
            <w:r w:rsidRPr="00430F1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[RNA PCR]</w:t>
            </w:r>
          </w:p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Pr="00430F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430F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year: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HHV</w:t>
            </w:r>
            <w:r w:rsidR="00E2767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[</w:t>
            </w:r>
            <w:r w:rsidR="00E2767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HHV 6 DNA Quantitative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PCR, blood]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6D1F17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Persistent </w:t>
            </w:r>
            <w:proofErr w:type="spellStart"/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 and persistently high levels of α-synuclein at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follow-up</w:t>
            </w: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biopsy</w:t>
            </w:r>
          </w:p>
        </w:tc>
      </w:tr>
      <w:tr w:rsidR="006D1F17" w:rsidRPr="00107A37" w:rsidTr="006D1F17">
        <w:trPr>
          <w:trHeight w:val="34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5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Volvulus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2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984F95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+ 2 months: </w:t>
            </w:r>
            <w:r w:rsidR="003650C8" w:rsidRPr="00430F1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19455A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(RNA PCR)</w:t>
            </w:r>
          </w:p>
          <w:p w:rsidR="003650C8" w:rsidRPr="003650C8" w:rsidRDefault="0019455A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19455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Rotavirus [Rota antigen EIA, stool]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6D1F17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Concomitant Norovirus and Rotavirus infection and high levels of α-synuclein</w:t>
            </w:r>
          </w:p>
        </w:tc>
      </w:tr>
      <w:tr w:rsidR="006D1F17" w:rsidRPr="00107A37" w:rsidTr="006D1F17">
        <w:trPr>
          <w:trHeight w:val="35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1.3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NEC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2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Li/SB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+ 2 months: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- Norovirus [RNA PCR]</w:t>
            </w:r>
          </w:p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month: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BK virus [BK virus DNA quantitative PCR, urine]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- 9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C. </w:t>
            </w:r>
            <w:proofErr w:type="spellStart"/>
            <w:r w:rsidR="003650C8"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difficile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[C</w:t>
            </w:r>
            <w:r w:rsidR="00E2767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diff toxin A and B PCR, stool]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- 10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="003650C8" w:rsidRPr="00D756A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Aeromonas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[Culture, stool]</w:t>
            </w:r>
          </w:p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- 10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C. </w:t>
            </w:r>
            <w:proofErr w:type="spellStart"/>
            <w:r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difficile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[C. diff toxin A, B PCR, stool]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- 10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HSV [Culture, i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leum]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6D1F17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Persistently high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levels of </w:t>
            </w:r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α-synuclein despite resolution of </w:t>
            </w:r>
            <w:proofErr w:type="spellStart"/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6D1F1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 at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follow-up biopsy</w:t>
            </w:r>
          </w:p>
        </w:tc>
      </w:tr>
      <w:tr w:rsidR="006D1F17" w:rsidRPr="00107A37" w:rsidTr="006D1F17">
        <w:trPr>
          <w:trHeight w:val="44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5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Psuedo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-obstruction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5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6D6AD5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E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+ 5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 [RNA PCR]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+ 2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 [RNA PCR]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1F545E"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="001F54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C. </w:t>
            </w:r>
            <w:proofErr w:type="spellStart"/>
            <w:r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difficile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[C. diff antigen </w:t>
            </w:r>
          </w:p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EIA, stool]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- 3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C. </w:t>
            </w:r>
            <w:proofErr w:type="spellStart"/>
            <w:r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difficile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[C. diff toxin gene PCR, stool]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- 4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viral capsid IgG, blood]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- 5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CMV [CMV IgG, blood]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- 6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E276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- 6</w:t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 xml:space="preserve">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CMV [CMV DNA PCR, blood]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1945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- 10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CMV [CMV DNA PCR, blood]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Persistent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 and persistently high levels of α-synuclein at follow-up biopsy</w:t>
            </w:r>
          </w:p>
        </w:tc>
      </w:tr>
      <w:tr w:rsidR="006D1F17" w:rsidRPr="00107A37" w:rsidTr="006D1F17">
        <w:trPr>
          <w:trHeight w:val="26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33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FAP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7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877686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- 4 years:</w:t>
            </w:r>
            <w:r w:rsidR="00984F95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="003650C8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- 7 years:</w:t>
            </w:r>
            <w:r w:rsidR="00984F95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EBV [EBV DNA PCR, </w:t>
            </w:r>
            <w:r w:rsidR="003650C8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blood]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No significant α-synuclein observed in biopsy sampled prior to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infection in 33-year old FAP patient duodenum. No prior upper GI viral infection.</w:t>
            </w:r>
          </w:p>
        </w:tc>
      </w:tr>
      <w:tr w:rsidR="006D1F17" w:rsidRPr="00877686" w:rsidTr="006D1F17">
        <w:trPr>
          <w:trHeight w:val="52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lastRenderedPageBreak/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1.3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Psuedo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-obstruction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0.3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Li/SB/Pa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877686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+ 1 year: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- Norovirus [RNA PCR]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+ 2 months:</w:t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- 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[ RNA PCR]</w:t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1F545E"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="001F545E"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months: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Adenoviru</w:t>
            </w:r>
            <w:r w:rsidR="00D756A7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 [A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deno</w:t>
            </w:r>
            <w:r w:rsidR="00D756A7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virus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antigen, stool]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years:</w:t>
            </w:r>
            <w:r w:rsidR="00984F95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 [RNA PCR]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8776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- 4 years:</w:t>
            </w:r>
            <w:r w:rsidR="00984F95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87768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C. </w:t>
            </w:r>
            <w:proofErr w:type="spellStart"/>
            <w:r w:rsidRPr="0087768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difficile</w:t>
            </w:r>
            <w:proofErr w:type="spellEnd"/>
            <w:r w:rsidR="00E2767E"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[C. diff toxin A and B, </w:t>
            </w:r>
            <w:r w:rsidRPr="0087768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ileum]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High levels of α-synuclein during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 with significant reduction after resolution of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infection. </w:t>
            </w:r>
          </w:p>
        </w:tc>
      </w:tr>
      <w:tr w:rsidR="006D1F17" w:rsidRPr="00107A37" w:rsidTr="006D1F17">
        <w:trPr>
          <w:trHeight w:val="34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NEC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0.1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Li/SB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+ 3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 [RNA PCR]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1F545E" w:rsidRPr="00E276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="001F545E" w:rsidRPr="00E276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Pr="00E276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month: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CMV [CMV DNA, blood]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- 4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CMV [CMV DNA, blood]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year: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CMV [CMV DNA, blood]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 </w:t>
            </w:r>
          </w:p>
        </w:tc>
      </w:tr>
      <w:tr w:rsidR="006D1F17" w:rsidRPr="00107A37" w:rsidTr="006D1F17">
        <w:trPr>
          <w:trHeight w:val="53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47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Mesenteric thrombosis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33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D756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Pr="00D756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D756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D756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month: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Enterovirus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</w:t>
            </w:r>
            <w:proofErr w:type="spellStart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Enterovirus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months:</w:t>
            </w:r>
            <w:r w:rsidR="003650C8" w:rsidRPr="00CD2D4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Adenovirus [Adenovirus antibody,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year: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CMV [CMV DNA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year</w:t>
            </w:r>
            <w:r w:rsid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s</w:t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- 3 year</w:t>
            </w:r>
            <w:r w:rsid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s</w:t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 </w:t>
            </w:r>
          </w:p>
        </w:tc>
      </w:tr>
      <w:tr w:rsidR="006D1F17" w:rsidRPr="00107A37" w:rsidTr="006D1F17">
        <w:trPr>
          <w:trHeight w:val="25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3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NEC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3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</w:t>
            </w:r>
            <w:r w:rsidR="007D24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rovirus [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RNA PCR]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month: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Adenovirus [Adenovirus antigen, stool]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month: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C. </w:t>
            </w:r>
            <w:proofErr w:type="spellStart"/>
            <w:r w:rsidR="003650C8" w:rsidRPr="00984F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difficile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[C. diff </w:t>
            </w:r>
            <w:proofErr w:type="spellStart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ntigen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stool]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month</w:t>
            </w:r>
            <w:r w:rsid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s</w:t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- 8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- 8 months: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D756A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Adenovirus [A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denovirus antigen, stool]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- 3 years: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espiratory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yncytial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</w:t>
            </w:r>
            <w:r w:rsidR="00984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irus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[Respiratory viral panel PCR]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- 3 years: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Rotavirus [Rota antigen, stool]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- 3 years: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Adenovirus [Adenovirus antigen, stool]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- 3 years: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Rotavirus [Rota antigen, stool]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No significant α-synuclein observed in native duodenum or grafted jejunum prior to infection. Induction of α-synuclein at the time of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 in both native and grafted tissue. Chronic shedding of adenoviral antigen in stool.</w:t>
            </w:r>
          </w:p>
        </w:tc>
      </w:tr>
      <w:tr w:rsidR="006D1F17" w:rsidRPr="00107A37" w:rsidTr="006D1F17">
        <w:trPr>
          <w:trHeight w:val="34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2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Gastro-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schisis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0.4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Li/SB/Pa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+ 3 months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: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Norovirus [RNA PCR]: </w:t>
            </w:r>
          </w:p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- 3 months: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Group A Streptococcus [Rapid Strep test]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- 4 months: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Parainfluenza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virus [Respiratory viral panel PCR]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E276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year: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Coronavirus [Respiratory viral panel PCR]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year:</w:t>
            </w:r>
            <w:r w:rsidR="00F956A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Respiratory Syncytial Virus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[Respiratory viral panel PCR]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 </w:t>
            </w:r>
          </w:p>
        </w:tc>
      </w:tr>
      <w:tr w:rsidR="006D1F17" w:rsidRPr="00107A37" w:rsidTr="006D1F17">
        <w:trPr>
          <w:trHeight w:val="34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0.6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Volvulus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0.4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Li/SB/Pa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month: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Parainfluenza</w:t>
            </w:r>
            <w:proofErr w:type="spellEnd"/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virus [Respiratory viral panel PCR]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year: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Coronavirus [Respiratory viral panel PCR]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 </w:t>
            </w:r>
          </w:p>
        </w:tc>
      </w:tr>
      <w:tr w:rsidR="006D1F17" w:rsidRPr="00107A37" w:rsidTr="006D1F17">
        <w:trPr>
          <w:trHeight w:val="34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4</w:t>
            </w:r>
            <w:r w:rsidR="00E37435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.8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Tufting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1.6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DF65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 w:rsidRPr="00DF65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DF65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- 8 months: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CMV [CMV DNA PCR, </w:t>
            </w:r>
            <w:r w:rsidR="003650C8" w:rsidRPr="00430F1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blood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- 8 months: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lastRenderedPageBreak/>
              <w:t>- 9 months: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Adenovirus [Adenovirus antigen, stool]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year: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EBV [EBV capsid IgG, </w:t>
            </w:r>
            <w:r w:rsidR="003650C8" w:rsidRPr="00430F1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blood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No significant α-synuclein observed in biopsy sampled prior to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 native 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duodenum of a 5-year </w:t>
            </w: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old patient. Induction of α-synuclein in native duodenum at the time of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infection.  Chronic asymptomatic shedding of adenovirus antigens in stool. </w:t>
            </w:r>
          </w:p>
        </w:tc>
      </w:tr>
      <w:tr w:rsidR="006D1F17" w:rsidRPr="00107A37" w:rsidTr="006D1F17">
        <w:trPr>
          <w:trHeight w:val="368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lastRenderedPageBreak/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3.3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Gastro-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schisis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E37435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1.4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 xml:space="preserve"> 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C8" w:rsidRPr="003650C8" w:rsidRDefault="003650C8" w:rsidP="0036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22"/>
              </w:rPr>
              <w:t>Li/SB/Pa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1F545E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0 months: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="003650C8" w:rsidRPr="004B7E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Norovirus [RNA PCR]</w:t>
            </w:r>
            <w:r w:rsidR="003650C8" w:rsidRPr="003650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- 1 month: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- 4 months: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- 9 months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: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="003650C8" w:rsidRPr="00CD2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- 2 years:</w:t>
            </w:r>
            <w:r w:rsidR="004B7EF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3650C8"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EBV [EBV DNA PCR, blood]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0C8" w:rsidRPr="003650C8" w:rsidRDefault="003650C8" w:rsidP="0036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No significant α-synuclein observed in native duodenum or grafted duodenum and jejunum prior to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infection. Induction of α-synuclein at the time of </w:t>
            </w:r>
            <w:proofErr w:type="spellStart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norovirus</w:t>
            </w:r>
            <w:proofErr w:type="spellEnd"/>
            <w:r w:rsidRPr="003650C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infection.  No prior upper GI viral infection.</w:t>
            </w:r>
          </w:p>
        </w:tc>
      </w:tr>
    </w:tbl>
    <w:p w:rsidR="002B3238" w:rsidRPr="002B3238" w:rsidRDefault="00CB5F33" w:rsidP="002B3238">
      <w:pPr>
        <w:spacing w:after="0" w:line="240" w:lineRule="auto"/>
        <w:rPr>
          <w:rFonts w:ascii="Times New Roman" w:hAnsi="Times New Roman" w:cs="Times New Roman"/>
        </w:rPr>
      </w:pPr>
      <w:r w:rsidRPr="00107A37">
        <w:rPr>
          <w:rFonts w:ascii="Times New Roman" w:hAnsi="Times New Roman" w:cs="Times New Roman"/>
        </w:rPr>
        <w:t xml:space="preserve">NEC, necrotizing </w:t>
      </w:r>
      <w:proofErr w:type="spellStart"/>
      <w:r w:rsidRPr="00107A37">
        <w:rPr>
          <w:rFonts w:ascii="Times New Roman" w:hAnsi="Times New Roman" w:cs="Times New Roman"/>
        </w:rPr>
        <w:t>enterocolitis</w:t>
      </w:r>
      <w:proofErr w:type="spellEnd"/>
      <w:r w:rsidRPr="00107A37">
        <w:rPr>
          <w:rFonts w:ascii="Times New Roman" w:hAnsi="Times New Roman" w:cs="Times New Roman"/>
        </w:rPr>
        <w:t>; FAP, familial</w:t>
      </w:r>
      <w:r w:rsidR="008A7A67" w:rsidRPr="00107A37">
        <w:rPr>
          <w:rFonts w:ascii="Times New Roman" w:hAnsi="Times New Roman" w:cs="Times New Roman"/>
        </w:rPr>
        <w:t xml:space="preserve"> adenomatous polyposis</w:t>
      </w:r>
      <w:r w:rsidRPr="00107A37">
        <w:rPr>
          <w:rFonts w:ascii="Times New Roman" w:hAnsi="Times New Roman" w:cs="Times New Roman"/>
        </w:rPr>
        <w:t>; SB, small bowel; Li,</w:t>
      </w:r>
      <w:r w:rsidR="00D46D9F">
        <w:rPr>
          <w:rFonts w:ascii="Times New Roman" w:hAnsi="Times New Roman" w:cs="Times New Roman"/>
        </w:rPr>
        <w:t xml:space="preserve"> </w:t>
      </w:r>
      <w:r w:rsidRPr="00107A37">
        <w:rPr>
          <w:rFonts w:ascii="Times New Roman" w:hAnsi="Times New Roman" w:cs="Times New Roman"/>
        </w:rPr>
        <w:t>liver;</w:t>
      </w:r>
      <w:r w:rsidR="001339B2">
        <w:rPr>
          <w:rFonts w:ascii="Times New Roman" w:hAnsi="Times New Roman" w:cs="Times New Roman"/>
        </w:rPr>
        <w:t xml:space="preserve"> Pa, pancreas;</w:t>
      </w:r>
      <w:r w:rsidRPr="00107A37">
        <w:rPr>
          <w:rFonts w:ascii="Times New Roman" w:hAnsi="Times New Roman" w:cs="Times New Roman"/>
        </w:rPr>
        <w:t xml:space="preserve"> MV, </w:t>
      </w:r>
      <w:proofErr w:type="spellStart"/>
      <w:r w:rsidRPr="00107A37">
        <w:rPr>
          <w:rFonts w:ascii="Times New Roman" w:hAnsi="Times New Roman" w:cs="Times New Roman"/>
        </w:rPr>
        <w:t>multivisceral</w:t>
      </w:r>
      <w:proofErr w:type="spellEnd"/>
      <w:r w:rsidR="0022587D">
        <w:rPr>
          <w:rFonts w:ascii="Times New Roman" w:hAnsi="Times New Roman" w:cs="Times New Roman"/>
        </w:rPr>
        <w:t>; EBV, Epstein Barr virus; CMV, cytomegalovirus</w:t>
      </w:r>
      <w:r w:rsidR="00D756A7">
        <w:rPr>
          <w:rFonts w:ascii="Times New Roman" w:hAnsi="Times New Roman" w:cs="Times New Roman"/>
        </w:rPr>
        <w:t xml:space="preserve">; </w:t>
      </w:r>
      <w:r w:rsidR="00E2767E">
        <w:rPr>
          <w:rFonts w:ascii="Times New Roman" w:hAnsi="Times New Roman" w:cs="Times New Roman"/>
        </w:rPr>
        <w:t xml:space="preserve">HHV 6, human </w:t>
      </w:r>
      <w:proofErr w:type="spellStart"/>
      <w:r w:rsidR="00E2767E">
        <w:rPr>
          <w:rFonts w:ascii="Times New Roman" w:hAnsi="Times New Roman" w:cs="Times New Roman"/>
        </w:rPr>
        <w:t>herpesvirus</w:t>
      </w:r>
      <w:proofErr w:type="spellEnd"/>
      <w:r w:rsidR="00E2767E">
        <w:rPr>
          <w:rFonts w:ascii="Times New Roman" w:hAnsi="Times New Roman" w:cs="Times New Roman"/>
        </w:rPr>
        <w:t xml:space="preserve"> 6; </w:t>
      </w:r>
      <w:r w:rsidR="00D756A7">
        <w:rPr>
          <w:rFonts w:ascii="Times New Roman" w:hAnsi="Times New Roman" w:cs="Times New Roman"/>
        </w:rPr>
        <w:t>PCR, polymerase chain reaction</w:t>
      </w:r>
    </w:p>
    <w:p w:rsidR="002B3238" w:rsidRDefault="002B3238" w:rsidP="002B3238">
      <w:pPr>
        <w:rPr>
          <w:rFonts w:ascii="Times New Roman" w:hAnsi="Times New Roman" w:cs="Times New Roman"/>
          <w:b/>
        </w:rPr>
      </w:pPr>
    </w:p>
    <w:p w:rsidR="002B3238" w:rsidRPr="002B3238" w:rsidRDefault="002B3238" w:rsidP="00F540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2A LEGEND</w:t>
      </w:r>
    </w:p>
    <w:p w:rsidR="003650C8" w:rsidRPr="00107A37" w:rsidRDefault="007B0F82" w:rsidP="00F540C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Demographic/clinical data and viral histories of i</w:t>
      </w:r>
      <w:r w:rsidRPr="00107A37">
        <w:rPr>
          <w:rFonts w:ascii="Times New Roman" w:hAnsi="Times New Roman" w:cs="Times New Roman"/>
          <w:b/>
        </w:rPr>
        <w:t xml:space="preserve">ntestinal transplant </w:t>
      </w:r>
      <w:r>
        <w:rPr>
          <w:rFonts w:ascii="Times New Roman" w:hAnsi="Times New Roman" w:cs="Times New Roman"/>
          <w:b/>
        </w:rPr>
        <w:t>patients</w:t>
      </w:r>
      <w:r w:rsidRPr="00107A37">
        <w:rPr>
          <w:rFonts w:ascii="Times New Roman" w:hAnsi="Times New Roman" w:cs="Times New Roman"/>
          <w:b/>
        </w:rPr>
        <w:t xml:space="preserve"> with Norovirus infection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3650C8" w:rsidRPr="00107A37">
        <w:rPr>
          <w:rFonts w:ascii="Times New Roman" w:hAnsi="Times New Roman" w:cs="Times New Roman"/>
        </w:rPr>
        <w:t>The date of the</w:t>
      </w:r>
      <w:r w:rsidR="003650C8">
        <w:rPr>
          <w:rFonts w:ascii="Times New Roman" w:hAnsi="Times New Roman" w:cs="Times New Roman"/>
        </w:rPr>
        <w:t xml:space="preserve"> biopsy immediately after initial detection of</w:t>
      </w:r>
      <w:r w:rsidR="003650C8" w:rsidRPr="00107A37">
        <w:rPr>
          <w:rFonts w:ascii="Times New Roman" w:hAnsi="Times New Roman" w:cs="Times New Roman"/>
        </w:rPr>
        <w:t xml:space="preserve"> Norovirus infection is </w:t>
      </w:r>
      <w:r w:rsidR="001F545E">
        <w:rPr>
          <w:rFonts w:ascii="Times New Roman" w:hAnsi="Times New Roman" w:cs="Times New Roman"/>
        </w:rPr>
        <w:t xml:space="preserve">listed as ‘0 months’ and </w:t>
      </w:r>
      <w:r w:rsidR="003650C8" w:rsidRPr="00107A37">
        <w:rPr>
          <w:rFonts w:ascii="Times New Roman" w:hAnsi="Times New Roman" w:cs="Times New Roman"/>
        </w:rPr>
        <w:t xml:space="preserve">highlighted in </w:t>
      </w:r>
      <w:r w:rsidR="003650C8" w:rsidRPr="000733A0">
        <w:rPr>
          <w:rFonts w:ascii="Times New Roman" w:hAnsi="Times New Roman" w:cs="Times New Roman"/>
        </w:rPr>
        <w:t>bold</w:t>
      </w:r>
      <w:r w:rsidR="001F545E">
        <w:rPr>
          <w:rFonts w:ascii="Times New Roman" w:hAnsi="Times New Roman" w:cs="Times New Roman"/>
        </w:rPr>
        <w:t xml:space="preserve"> under</w:t>
      </w:r>
      <w:r w:rsidR="003650C8" w:rsidRPr="00107A37">
        <w:rPr>
          <w:rFonts w:ascii="Times New Roman" w:hAnsi="Times New Roman" w:cs="Times New Roman"/>
          <w:b/>
        </w:rPr>
        <w:t xml:space="preserve"> </w:t>
      </w:r>
      <w:r w:rsidR="002B3238">
        <w:rPr>
          <w:rFonts w:ascii="Times New Roman" w:hAnsi="Times New Roman" w:cs="Times New Roman"/>
        </w:rPr>
        <w:t>’Viral infection timeline</w:t>
      </w:r>
      <w:r w:rsidR="001F545E">
        <w:rPr>
          <w:rFonts w:ascii="Times New Roman" w:hAnsi="Times New Roman" w:cs="Times New Roman"/>
        </w:rPr>
        <w:t>’</w:t>
      </w:r>
      <w:r w:rsidR="002B3238">
        <w:rPr>
          <w:rFonts w:ascii="Times New Roman" w:hAnsi="Times New Roman" w:cs="Times New Roman"/>
        </w:rPr>
        <w:t xml:space="preserve">. </w:t>
      </w:r>
      <w:r w:rsidR="003650C8" w:rsidRPr="00107A37">
        <w:rPr>
          <w:rFonts w:ascii="Times New Roman" w:hAnsi="Times New Roman" w:cs="Times New Roman"/>
        </w:rPr>
        <w:t>The timing of all other studies</w:t>
      </w:r>
      <w:r w:rsidR="003650C8">
        <w:rPr>
          <w:rFonts w:ascii="Times New Roman" w:hAnsi="Times New Roman" w:cs="Times New Roman"/>
        </w:rPr>
        <w:t xml:space="preserve"> and biopsies</w:t>
      </w:r>
      <w:r w:rsidR="003650C8" w:rsidRPr="00107A37">
        <w:rPr>
          <w:rFonts w:ascii="Times New Roman" w:hAnsi="Times New Roman" w:cs="Times New Roman"/>
        </w:rPr>
        <w:t xml:space="preserve"> are </w:t>
      </w:r>
      <w:r w:rsidR="001F545E">
        <w:rPr>
          <w:rFonts w:ascii="Times New Roman" w:hAnsi="Times New Roman" w:cs="Times New Roman"/>
        </w:rPr>
        <w:t xml:space="preserve">chronologically </w:t>
      </w:r>
      <w:r w:rsidR="003650C8" w:rsidRPr="00107A37">
        <w:rPr>
          <w:rFonts w:ascii="Times New Roman" w:hAnsi="Times New Roman" w:cs="Times New Roman"/>
        </w:rPr>
        <w:t>referenced</w:t>
      </w:r>
      <w:r w:rsidR="003650C8">
        <w:rPr>
          <w:rFonts w:ascii="Times New Roman" w:hAnsi="Times New Roman" w:cs="Times New Roman"/>
        </w:rPr>
        <w:t xml:space="preserve"> relative</w:t>
      </w:r>
      <w:r w:rsidR="003650C8" w:rsidRPr="00107A37">
        <w:rPr>
          <w:rFonts w:ascii="Times New Roman" w:hAnsi="Times New Roman" w:cs="Times New Roman"/>
        </w:rPr>
        <w:t xml:space="preserve"> to</w:t>
      </w:r>
      <w:r w:rsidR="001F545E">
        <w:rPr>
          <w:rFonts w:ascii="Times New Roman" w:hAnsi="Times New Roman" w:cs="Times New Roman"/>
        </w:rPr>
        <w:t xml:space="preserve"> the date of</w:t>
      </w:r>
      <w:r w:rsidR="003650C8" w:rsidRPr="00107A37">
        <w:rPr>
          <w:rFonts w:ascii="Times New Roman" w:hAnsi="Times New Roman" w:cs="Times New Roman"/>
        </w:rPr>
        <w:t xml:space="preserve"> </w:t>
      </w:r>
      <w:r w:rsidR="002B3238">
        <w:rPr>
          <w:rFonts w:ascii="Times New Roman" w:hAnsi="Times New Roman" w:cs="Times New Roman"/>
        </w:rPr>
        <w:t xml:space="preserve">the </w:t>
      </w:r>
      <w:r w:rsidR="007649E9">
        <w:rPr>
          <w:rFonts w:ascii="Times New Roman" w:hAnsi="Times New Roman" w:cs="Times New Roman"/>
        </w:rPr>
        <w:t>initial</w:t>
      </w:r>
      <w:r w:rsidR="00D756A7">
        <w:rPr>
          <w:rFonts w:ascii="Times New Roman" w:hAnsi="Times New Roman" w:cs="Times New Roman"/>
        </w:rPr>
        <w:t xml:space="preserve"> </w:t>
      </w:r>
      <w:r w:rsidR="002B3238">
        <w:rPr>
          <w:rFonts w:ascii="Times New Roman" w:hAnsi="Times New Roman" w:cs="Times New Roman"/>
        </w:rPr>
        <w:t>biopsy</w:t>
      </w:r>
      <w:r w:rsidR="007649E9">
        <w:rPr>
          <w:rFonts w:ascii="Times New Roman" w:hAnsi="Times New Roman" w:cs="Times New Roman"/>
        </w:rPr>
        <w:t xml:space="preserve"> taken at the time of the infection</w:t>
      </w:r>
      <w:r w:rsidR="002B3238">
        <w:rPr>
          <w:rFonts w:ascii="Times New Roman" w:hAnsi="Times New Roman" w:cs="Times New Roman"/>
        </w:rPr>
        <w:t>.</w:t>
      </w:r>
      <w:r w:rsidR="003650C8" w:rsidRPr="00107A37">
        <w:rPr>
          <w:rFonts w:ascii="Times New Roman" w:hAnsi="Times New Roman" w:cs="Times New Roman"/>
        </w:rPr>
        <w:t xml:space="preserve"> All viral studies </w:t>
      </w:r>
      <w:r w:rsidR="003650C8">
        <w:rPr>
          <w:rFonts w:ascii="Times New Roman" w:hAnsi="Times New Roman" w:cs="Times New Roman"/>
        </w:rPr>
        <w:t>performed</w:t>
      </w:r>
      <w:r w:rsidR="004B7EFE">
        <w:rPr>
          <w:rFonts w:ascii="Times New Roman" w:hAnsi="Times New Roman" w:cs="Times New Roman"/>
        </w:rPr>
        <w:t xml:space="preserve"> prior to the date of </w:t>
      </w:r>
      <w:r w:rsidR="003650C8" w:rsidRPr="00107A37">
        <w:rPr>
          <w:rFonts w:ascii="Times New Roman" w:hAnsi="Times New Roman" w:cs="Times New Roman"/>
        </w:rPr>
        <w:t>Norovirus infection are listed.</w:t>
      </w:r>
    </w:p>
    <w:p w:rsidR="003650C8" w:rsidRPr="00107A37" w:rsidRDefault="003650C8" w:rsidP="00AE4E66">
      <w:pPr>
        <w:rPr>
          <w:rFonts w:ascii="Times New Roman" w:hAnsi="Times New Roman" w:cs="Times New Roman"/>
        </w:rPr>
      </w:pPr>
    </w:p>
    <w:p w:rsidR="00CB5F33" w:rsidRPr="00107A37" w:rsidRDefault="00CB5F33" w:rsidP="00AE4E66">
      <w:pPr>
        <w:rPr>
          <w:rFonts w:ascii="Times New Roman" w:hAnsi="Times New Roman" w:cs="Times New Roman"/>
          <w:b/>
        </w:rPr>
      </w:pPr>
    </w:p>
    <w:p w:rsidR="00CB5F33" w:rsidRDefault="00CB5F33" w:rsidP="00AE4E66">
      <w:pPr>
        <w:rPr>
          <w:rFonts w:ascii="Times New Roman" w:hAnsi="Times New Roman" w:cs="Times New Roman"/>
          <w:b/>
        </w:rPr>
      </w:pPr>
    </w:p>
    <w:p w:rsidR="002B3238" w:rsidRDefault="002B3238" w:rsidP="00AE4E66">
      <w:pPr>
        <w:rPr>
          <w:rFonts w:ascii="Times New Roman" w:hAnsi="Times New Roman" w:cs="Times New Roman"/>
          <w:b/>
        </w:rPr>
      </w:pPr>
    </w:p>
    <w:p w:rsidR="002B3238" w:rsidRDefault="002B3238" w:rsidP="00AE4E66">
      <w:pPr>
        <w:rPr>
          <w:rFonts w:ascii="Times New Roman" w:hAnsi="Times New Roman" w:cs="Times New Roman"/>
          <w:b/>
        </w:rPr>
      </w:pPr>
    </w:p>
    <w:p w:rsidR="00503162" w:rsidRDefault="00503162" w:rsidP="00AE4E66">
      <w:pPr>
        <w:rPr>
          <w:rFonts w:ascii="Times New Roman" w:hAnsi="Times New Roman" w:cs="Times New Roman"/>
          <w:b/>
        </w:rPr>
      </w:pPr>
    </w:p>
    <w:p w:rsidR="00503162" w:rsidRDefault="00503162" w:rsidP="00AE4E66">
      <w:pPr>
        <w:rPr>
          <w:rFonts w:ascii="Times New Roman" w:hAnsi="Times New Roman" w:cs="Times New Roman"/>
          <w:b/>
        </w:rPr>
      </w:pPr>
    </w:p>
    <w:p w:rsidR="00503162" w:rsidRDefault="00503162" w:rsidP="00AE4E66">
      <w:pPr>
        <w:rPr>
          <w:rFonts w:ascii="Times New Roman" w:hAnsi="Times New Roman" w:cs="Times New Roman"/>
          <w:b/>
        </w:rPr>
      </w:pPr>
    </w:p>
    <w:p w:rsidR="002B3238" w:rsidRPr="00107A37" w:rsidRDefault="002B3238" w:rsidP="00AE4E66">
      <w:pPr>
        <w:rPr>
          <w:rFonts w:ascii="Times New Roman" w:hAnsi="Times New Roman" w:cs="Times New Roman"/>
          <w:b/>
        </w:rPr>
      </w:pPr>
    </w:p>
    <w:p w:rsidR="00CB5F33" w:rsidRPr="00107A37" w:rsidRDefault="004B40AE" w:rsidP="00F37BB9">
      <w:pPr>
        <w:rPr>
          <w:rFonts w:ascii="Times New Roman" w:eastAsia="Times New Roman" w:hAnsi="Times New Roman" w:cs="Times New Roman"/>
          <w:b/>
          <w:color w:val="222222"/>
        </w:rPr>
      </w:pPr>
      <w:r w:rsidRPr="00107A37">
        <w:rPr>
          <w:rFonts w:ascii="Times New Roman" w:eastAsia="Times New Roman" w:hAnsi="Times New Roman" w:cs="Times New Roman"/>
          <w:b/>
          <w:color w:val="222222"/>
        </w:rPr>
        <w:lastRenderedPageBreak/>
        <w:t>T</w:t>
      </w:r>
      <w:r w:rsidR="00CB5F33" w:rsidRPr="00107A37">
        <w:rPr>
          <w:rFonts w:ascii="Times New Roman" w:eastAsia="Times New Roman" w:hAnsi="Times New Roman" w:cs="Times New Roman"/>
          <w:b/>
          <w:color w:val="222222"/>
        </w:rPr>
        <w:t>ABLE 2</w:t>
      </w:r>
      <w:r w:rsidR="003650C8">
        <w:rPr>
          <w:rFonts w:ascii="Times New Roman" w:eastAsia="Times New Roman" w:hAnsi="Times New Roman" w:cs="Times New Roman"/>
          <w:b/>
          <w:color w:val="222222"/>
        </w:rPr>
        <w:t>B</w:t>
      </w:r>
    </w:p>
    <w:p w:rsidR="0049588C" w:rsidRPr="0085015A" w:rsidRDefault="0049588C" w:rsidP="00F37BB9">
      <w:pPr>
        <w:rPr>
          <w:rFonts w:ascii="Times New Roman" w:hAnsi="Times New Roman" w:cs="Times New Roman"/>
          <w:b/>
        </w:rPr>
      </w:pPr>
    </w:p>
    <w:tbl>
      <w:tblPr>
        <w:tblW w:w="7200" w:type="dxa"/>
        <w:tblInd w:w="-10" w:type="dxa"/>
        <w:tblLook w:val="04A0" w:firstRow="1" w:lastRow="0" w:firstColumn="1" w:lastColumn="0" w:noHBand="0" w:noVBand="1"/>
      </w:tblPr>
      <w:tblGrid>
        <w:gridCol w:w="1350"/>
        <w:gridCol w:w="1347"/>
        <w:gridCol w:w="1483"/>
        <w:gridCol w:w="1475"/>
        <w:gridCol w:w="1545"/>
      </w:tblGrid>
      <w:tr w:rsidR="007649E9" w:rsidRPr="00107A37" w:rsidTr="0085015A">
        <w:trPr>
          <w:trHeight w:val="9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0A" w:rsidRPr="00107A37" w:rsidRDefault="008D1D0A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Patient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0A" w:rsidRPr="00107A37" w:rsidRDefault="008D1D0A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Tissue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0A" w:rsidRDefault="007649E9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α-synuclein</w:t>
            </w:r>
            <w:r w:rsidR="008D1D0A" w:rsidRPr="00107A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score </w:t>
            </w:r>
            <w:r w:rsidR="008D1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before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initial </w:t>
            </w:r>
            <w:r w:rsidR="008D1D0A" w:rsidRPr="00107A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Norovirus</w:t>
            </w:r>
            <w:r w:rsidR="006D1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infection</w:t>
            </w:r>
          </w:p>
          <w:p w:rsidR="008D1D0A" w:rsidRPr="00107A37" w:rsidRDefault="008D1D0A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(‘Pre’ biopsy)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0A" w:rsidRPr="00107A37" w:rsidRDefault="007649E9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α-synuclein</w:t>
            </w:r>
            <w:r w:rsidR="008D1D0A" w:rsidRPr="00107A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score </w:t>
            </w:r>
            <w:r w:rsidR="006D1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during</w:t>
            </w:r>
            <w:r w:rsidR="008D1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initial </w:t>
            </w:r>
            <w:r w:rsidR="008D1D0A" w:rsidRPr="00107A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Norovirus</w:t>
            </w:r>
            <w:r w:rsidR="008D1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D1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infection </w:t>
            </w:r>
            <w:r w:rsidR="008D1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(‘During’ biopsy)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0A" w:rsidRPr="00107A37" w:rsidRDefault="007649E9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α-synuclein</w:t>
            </w:r>
            <w:r w:rsidR="008D1D0A" w:rsidRPr="00107A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score       </w:t>
            </w:r>
            <w:r w:rsidR="008D1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after</w:t>
            </w:r>
            <w:r w:rsidR="006D1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initial </w:t>
            </w:r>
            <w:r w:rsidR="008D1D0A" w:rsidRPr="00107A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Norovirus </w:t>
            </w:r>
            <w:r w:rsidR="008D1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infection (‘Post’ biopsy)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9C25AD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6D6AD5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40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17" w:rsidRPr="009C25AD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6D6AD5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6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17" w:rsidRPr="009C25AD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6D6AD5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6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17" w:rsidRPr="009C25AD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6D6AD5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9C25AD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6D6AD5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17" w:rsidRPr="009C25AD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ILg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107A37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17" w:rsidRPr="006D6AD5" w:rsidRDefault="006D1F17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6D6AD5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B1759F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ILg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77686">
        <w:trPr>
          <w:trHeight w:val="28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87768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6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77686">
        <w:trPr>
          <w:trHeight w:val="39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87768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6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77686">
        <w:trPr>
          <w:trHeight w:val="36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87768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6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77686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87768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76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77686">
        <w:trPr>
          <w:trHeight w:val="34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87768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6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ILg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BD75EB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77686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BD75EB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63B46">
              <w:rPr>
                <w:rFonts w:ascii="Times New Roman" w:eastAsia="Times New Roman" w:hAnsi="Times New Roman" w:cs="Times New Roman"/>
                <w:color w:val="000000"/>
              </w:rPr>
              <w:t xml:space="preserve"> (+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BD75EB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F0904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63B46">
              <w:rPr>
                <w:rFonts w:ascii="Times New Roman" w:eastAsia="Times New Roman" w:hAnsi="Times New Roman" w:cs="Times New Roman"/>
                <w:color w:val="000000"/>
              </w:rPr>
              <w:t xml:space="preserve"> (+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77686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649E9" w:rsidRPr="00107A37" w:rsidTr="0085015A">
        <w:trPr>
          <w:trHeight w:val="36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7D2468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661E84">
              <w:rPr>
                <w:rFonts w:ascii="Times New Roman" w:eastAsia="Times New Roman" w:hAnsi="Times New Roman" w:cs="Times New Roman"/>
                <w:color w:val="000000"/>
              </w:rPr>
              <w:t xml:space="preserve">(-1 </w:t>
            </w:r>
            <w:proofErr w:type="spellStart"/>
            <w:r w:rsidR="00661E84"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 w:rsidR="00661E8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B1759F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3B46">
              <w:rPr>
                <w:rFonts w:ascii="Times New Roman" w:eastAsia="Times New Roman" w:hAnsi="Times New Roman" w:cs="Times New Roman"/>
                <w:color w:val="000000"/>
              </w:rPr>
              <w:t>ILg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63B4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63B46">
              <w:rPr>
                <w:rFonts w:ascii="Times New Roman" w:eastAsia="Times New Roman" w:hAnsi="Times New Roman" w:cs="Times New Roman"/>
                <w:color w:val="000000"/>
              </w:rPr>
              <w:t xml:space="preserve">2 (+ 1 </w:t>
            </w:r>
            <w:proofErr w:type="spellStart"/>
            <w:r w:rsidRPr="00E63B46"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 w:rsidRPr="00E63B4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77686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3B46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AA77EF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3B4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77686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3B46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3B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7B0F82">
        <w:trPr>
          <w:trHeight w:val="33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7B0F82">
        <w:trPr>
          <w:trHeight w:val="30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E63B46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D707F5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4E1EE1E" wp14:editId="3A78B902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25400</wp:posOffset>
                      </wp:positionV>
                      <wp:extent cx="635" cy="635"/>
                      <wp:effectExtent l="0" t="0" r="0" b="0"/>
                      <wp:wrapNone/>
                      <wp:docPr id="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w14:anchorId="51AED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4.7pt;margin-top:2pt;width:.0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D707F5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D707F5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  <w:r w:rsidR="00E63B46">
              <w:rPr>
                <w:rFonts w:ascii="Times New Roman" w:eastAsia="Times New Roman" w:hAnsi="Times New Roman" w:cs="Times New Roman"/>
                <w:color w:val="000000"/>
              </w:rPr>
              <w:t xml:space="preserve"> (+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ILg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D707F5" w:rsidRDefault="00F10756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E63B46">
              <w:rPr>
                <w:rFonts w:ascii="Times New Roman" w:eastAsia="Times New Roman" w:hAnsi="Times New Roman" w:cs="Times New Roman"/>
                <w:color w:val="000000"/>
              </w:rPr>
              <w:t xml:space="preserve"> (+</w:t>
            </w:r>
            <w:r w:rsidR="00661E84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="00661E84"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 w:rsidR="00661E8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D707F5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2168AB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  <w:r w:rsidR="00E63B46">
              <w:rPr>
                <w:rFonts w:ascii="Times New Roman" w:eastAsia="Times New Roman" w:hAnsi="Times New Roman" w:cs="Times New Roman"/>
                <w:color w:val="000000"/>
              </w:rPr>
              <w:t xml:space="preserve"> (+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D707F5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6D1F1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ILg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6D1F1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D707F5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D707F5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6D1F1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6D1F1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6D1F1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7F6775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E63B46">
              <w:rPr>
                <w:rFonts w:ascii="Times New Roman" w:eastAsia="Times New Roman" w:hAnsi="Times New Roman" w:cs="Times New Roman"/>
                <w:color w:val="000000"/>
              </w:rPr>
              <w:t xml:space="preserve"> (+</w:t>
            </w:r>
            <w:r w:rsidR="00661E84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="00661E84"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 w:rsidR="00661E8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9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6D1F1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6D1F1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C6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(+3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E84" w:rsidRPr="00C61A3E" w:rsidRDefault="007F6775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661E84">
              <w:rPr>
                <w:rFonts w:ascii="Times New Roman" w:eastAsia="Times New Roman" w:hAnsi="Times New Roman" w:cs="Times New Roman"/>
                <w:color w:val="000000"/>
              </w:rPr>
              <w:t xml:space="preserve"> (+3 </w:t>
            </w:r>
            <w:proofErr w:type="spellStart"/>
            <w:r w:rsidR="00661E84"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 w:rsidR="00661E8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8A6F29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107A37" w:rsidRDefault="00661E84" w:rsidP="008A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1E84" w:rsidRPr="009C25AD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Dg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9C25AD" w:rsidRDefault="009C25AD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5AD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color w:val="000000"/>
              </w:rPr>
              <w:t>Jg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1E84" w:rsidRPr="00C61A3E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07A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661E84" w:rsidRPr="00107A37" w:rsidRDefault="00661E84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4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Default="00AD453F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453F" w:rsidRPr="00107A37" w:rsidTr="0085015A">
        <w:trPr>
          <w:trHeight w:val="34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="002045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ean </w:t>
            </w:r>
            <w:r w:rsidRPr="00107A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045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α-Synuclein Scores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6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649E9" w:rsidRPr="00107A37" w:rsidTr="0085015A">
        <w:trPr>
          <w:trHeight w:val="34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PRE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b/>
                <w:color w:val="000000"/>
              </w:rPr>
              <w:t>DURING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b/>
                <w:color w:val="000000"/>
              </w:rPr>
              <w:t>POST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649E9" w:rsidRPr="00107A37" w:rsidTr="0085015A">
        <w:trPr>
          <w:trHeight w:val="34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b/>
                <w:color w:val="000000"/>
              </w:rPr>
              <w:t>Dn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2.4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1.8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7A37">
              <w:rPr>
                <w:rFonts w:ascii="Times New Roman" w:eastAsia="Times New Roman" w:hAnsi="Times New Roman" w:cs="Times New Roman"/>
                <w:b/>
                <w:color w:val="000000"/>
              </w:rPr>
              <w:t>Dg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0.5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b/>
                <w:color w:val="000000"/>
              </w:rPr>
              <w:t>Jg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1.6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7A37">
              <w:rPr>
                <w:rFonts w:ascii="Times New Roman" w:eastAsia="Times New Roman" w:hAnsi="Times New Roman" w:cs="Times New Roman"/>
                <w:b/>
                <w:color w:val="000000"/>
              </w:rPr>
              <w:t>ILg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1.9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49E9" w:rsidRPr="00107A37" w:rsidTr="0085015A">
        <w:trPr>
          <w:trHeight w:val="315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All </w:t>
            </w:r>
            <w:r w:rsidRPr="00107A37">
              <w:rPr>
                <w:rFonts w:ascii="Times New Roman" w:eastAsia="Times New Roman" w:hAnsi="Times New Roman" w:cs="Times New Roman"/>
                <w:b/>
                <w:color w:val="000000"/>
              </w:rPr>
              <w:t>samples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20450A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1.7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AD453F" w:rsidRPr="00107A37" w:rsidRDefault="00AD453F" w:rsidP="00A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9588C" w:rsidRDefault="0049588C" w:rsidP="00F37BB9">
      <w:pPr>
        <w:rPr>
          <w:rFonts w:ascii="Times New Roman" w:hAnsi="Times New Roman" w:cs="Times New Roman"/>
          <w:b/>
        </w:rPr>
      </w:pPr>
    </w:p>
    <w:p w:rsidR="007B0F82" w:rsidRDefault="007B0F82" w:rsidP="00F540C1">
      <w:pPr>
        <w:spacing w:after="0"/>
        <w:jc w:val="both"/>
        <w:rPr>
          <w:rFonts w:ascii="Times New Roman" w:hAnsi="Times New Roman" w:cs="Times New Roman"/>
          <w:b/>
        </w:rPr>
      </w:pPr>
    </w:p>
    <w:p w:rsidR="007B0F82" w:rsidRDefault="007B0F82" w:rsidP="00F540C1">
      <w:pPr>
        <w:spacing w:after="0"/>
        <w:jc w:val="both"/>
        <w:rPr>
          <w:rFonts w:ascii="Times New Roman" w:hAnsi="Times New Roman" w:cs="Times New Roman"/>
          <w:b/>
        </w:rPr>
      </w:pPr>
    </w:p>
    <w:p w:rsidR="007B0F82" w:rsidRDefault="007B0F82" w:rsidP="00F540C1">
      <w:pPr>
        <w:spacing w:after="0"/>
        <w:jc w:val="both"/>
        <w:rPr>
          <w:rFonts w:ascii="Times New Roman" w:hAnsi="Times New Roman" w:cs="Times New Roman"/>
          <w:b/>
        </w:rPr>
      </w:pPr>
    </w:p>
    <w:p w:rsidR="00F540C1" w:rsidRDefault="00AE4E66" w:rsidP="00F540C1">
      <w:pPr>
        <w:spacing w:after="0"/>
        <w:jc w:val="both"/>
        <w:rPr>
          <w:rFonts w:ascii="Times New Roman" w:hAnsi="Times New Roman" w:cs="Times New Roman"/>
          <w:b/>
        </w:rPr>
      </w:pPr>
      <w:r w:rsidRPr="00107A37">
        <w:rPr>
          <w:rFonts w:ascii="Times New Roman" w:hAnsi="Times New Roman" w:cs="Times New Roman"/>
          <w:b/>
        </w:rPr>
        <w:t>TABLE 2B</w:t>
      </w:r>
      <w:r w:rsidR="00761386">
        <w:rPr>
          <w:rFonts w:ascii="Times New Roman" w:hAnsi="Times New Roman" w:cs="Times New Roman"/>
          <w:b/>
        </w:rPr>
        <w:t xml:space="preserve"> LEGEND</w:t>
      </w:r>
    </w:p>
    <w:p w:rsidR="00F540C1" w:rsidRDefault="00F540C1" w:rsidP="00F540C1">
      <w:pPr>
        <w:spacing w:after="0"/>
        <w:jc w:val="both"/>
        <w:rPr>
          <w:rFonts w:ascii="Times New Roman" w:hAnsi="Times New Roman" w:cs="Times New Roman"/>
          <w:b/>
        </w:rPr>
      </w:pPr>
    </w:p>
    <w:p w:rsidR="00AE4E66" w:rsidRDefault="0085015A" w:rsidP="00F540C1">
      <w:pPr>
        <w:spacing w:after="0"/>
        <w:jc w:val="both"/>
        <w:rPr>
          <w:rFonts w:ascii="Times New Roman" w:hAnsi="Times New Roman" w:cs="Times New Roman"/>
          <w:b/>
        </w:rPr>
      </w:pPr>
      <w:r w:rsidRPr="0085015A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gramStart"/>
      <w:r w:rsidR="007B0F82" w:rsidRPr="0085015A">
        <w:rPr>
          <w:rFonts w:ascii="Times New Roman" w:eastAsia="Times New Roman" w:hAnsi="Times New Roman" w:cs="Times New Roman"/>
          <w:b/>
          <w:color w:val="222222"/>
        </w:rPr>
        <w:t>α-Synuclein</w:t>
      </w:r>
      <w:proofErr w:type="gramEnd"/>
      <w:r w:rsidR="007B0F82" w:rsidRPr="0085015A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7B0F82">
        <w:rPr>
          <w:rFonts w:ascii="Times New Roman" w:eastAsia="Times New Roman" w:hAnsi="Times New Roman" w:cs="Times New Roman"/>
          <w:b/>
          <w:color w:val="222222"/>
        </w:rPr>
        <w:t>immunostain</w:t>
      </w:r>
      <w:proofErr w:type="spellEnd"/>
      <w:r w:rsidR="007B0F8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7B0F82" w:rsidRPr="0085015A">
        <w:rPr>
          <w:rFonts w:ascii="Times New Roman" w:eastAsia="Times New Roman" w:hAnsi="Times New Roman" w:cs="Times New Roman"/>
          <w:b/>
          <w:color w:val="222222"/>
        </w:rPr>
        <w:t>score</w:t>
      </w:r>
      <w:r w:rsidR="007B0F82">
        <w:rPr>
          <w:rFonts w:ascii="Times New Roman" w:eastAsia="Times New Roman" w:hAnsi="Times New Roman" w:cs="Times New Roman"/>
          <w:b/>
          <w:color w:val="222222"/>
        </w:rPr>
        <w:t>s</w:t>
      </w:r>
      <w:r w:rsidR="007B0F82" w:rsidRPr="0085015A">
        <w:rPr>
          <w:rFonts w:ascii="Times New Roman" w:eastAsia="Times New Roman" w:hAnsi="Times New Roman" w:cs="Times New Roman"/>
          <w:b/>
          <w:color w:val="222222"/>
        </w:rPr>
        <w:t xml:space="preserve"> in </w:t>
      </w:r>
      <w:r w:rsidR="007B0F82">
        <w:rPr>
          <w:rFonts w:ascii="Times New Roman" w:eastAsia="Times New Roman" w:hAnsi="Times New Roman" w:cs="Times New Roman"/>
          <w:b/>
          <w:color w:val="222222"/>
        </w:rPr>
        <w:t xml:space="preserve">small bowel of </w:t>
      </w:r>
      <w:r w:rsidR="007B0F82" w:rsidRPr="0085015A">
        <w:rPr>
          <w:rFonts w:ascii="Times New Roman" w:eastAsia="Times New Roman" w:hAnsi="Times New Roman" w:cs="Times New Roman"/>
          <w:b/>
          <w:color w:val="222222"/>
        </w:rPr>
        <w:t xml:space="preserve">intestinal transplant patients before, during and after </w:t>
      </w:r>
      <w:r w:rsidR="007B0F82">
        <w:rPr>
          <w:rFonts w:ascii="Times New Roman" w:eastAsia="Times New Roman" w:hAnsi="Times New Roman" w:cs="Times New Roman"/>
          <w:b/>
          <w:color w:val="222222"/>
        </w:rPr>
        <w:t xml:space="preserve"> initial </w:t>
      </w:r>
      <w:r w:rsidR="007B0F82" w:rsidRPr="0085015A">
        <w:rPr>
          <w:rFonts w:ascii="Times New Roman" w:eastAsia="Times New Roman" w:hAnsi="Times New Roman" w:cs="Times New Roman"/>
          <w:b/>
          <w:color w:val="222222"/>
        </w:rPr>
        <w:t>infection by Norovirus.</w:t>
      </w:r>
      <w:r w:rsidR="007B0F8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AD453F">
        <w:rPr>
          <w:rFonts w:ascii="Times New Roman" w:eastAsia="Times New Roman" w:hAnsi="Times New Roman" w:cs="Times New Roman"/>
          <w:color w:val="222222"/>
        </w:rPr>
        <w:t>S</w:t>
      </w:r>
      <w:r w:rsidR="0020450A">
        <w:rPr>
          <w:rFonts w:ascii="Times New Roman" w:eastAsia="Times New Roman" w:hAnsi="Times New Roman" w:cs="Times New Roman"/>
          <w:color w:val="222222"/>
        </w:rPr>
        <w:t xml:space="preserve">amples graded </w:t>
      </w:r>
      <w:r w:rsidR="007F6775">
        <w:rPr>
          <w:rFonts w:ascii="Times New Roman" w:eastAsia="Times New Roman" w:hAnsi="Times New Roman" w:cs="Times New Roman"/>
          <w:color w:val="222222"/>
        </w:rPr>
        <w:t xml:space="preserve">0 have no detectable </w:t>
      </w:r>
      <w:r w:rsidR="007F6775" w:rsidRPr="00107A37">
        <w:rPr>
          <w:rFonts w:ascii="Times New Roman" w:eastAsia="Times New Roman" w:hAnsi="Times New Roman" w:cs="Times New Roman"/>
          <w:color w:val="222222"/>
        </w:rPr>
        <w:t>α-synuclein</w:t>
      </w:r>
      <w:r w:rsidR="007F6775">
        <w:rPr>
          <w:rFonts w:ascii="Times New Roman" w:eastAsia="Times New Roman" w:hAnsi="Times New Roman" w:cs="Times New Roman"/>
          <w:color w:val="222222"/>
        </w:rPr>
        <w:t>.</w:t>
      </w:r>
      <w:r w:rsidR="00AE4E66" w:rsidRPr="00107A37">
        <w:rPr>
          <w:rFonts w:ascii="Times New Roman" w:eastAsia="Times New Roman" w:hAnsi="Times New Roman" w:cs="Times New Roman"/>
          <w:color w:val="222222"/>
        </w:rPr>
        <w:t xml:space="preserve"> The mean α</w:t>
      </w:r>
      <w:r w:rsidR="008349D2" w:rsidRPr="00107A37">
        <w:rPr>
          <w:rFonts w:ascii="Times New Roman" w:eastAsia="Times New Roman" w:hAnsi="Times New Roman" w:cs="Times New Roman"/>
          <w:color w:val="222222"/>
        </w:rPr>
        <w:t>-s</w:t>
      </w:r>
      <w:r w:rsidR="00AE4E66" w:rsidRPr="00107A37">
        <w:rPr>
          <w:rFonts w:ascii="Times New Roman" w:eastAsia="Times New Roman" w:hAnsi="Times New Roman" w:cs="Times New Roman"/>
          <w:color w:val="222222"/>
        </w:rPr>
        <w:t xml:space="preserve">ynuclein scores increased during Norovirus infection and declined thereafter in both native duodenum and grafted tissue but not in grafted ileum. </w:t>
      </w:r>
      <w:r w:rsidR="009376A8">
        <w:rPr>
          <w:rFonts w:ascii="Times New Roman" w:eastAsia="Times New Roman" w:hAnsi="Times New Roman" w:cs="Times New Roman"/>
          <w:color w:val="222222"/>
        </w:rPr>
        <w:t>Yellow</w:t>
      </w:r>
      <w:r w:rsidR="00AE4E66" w:rsidRPr="00107A37">
        <w:rPr>
          <w:rFonts w:ascii="Times New Roman" w:eastAsia="Times New Roman" w:hAnsi="Times New Roman" w:cs="Times New Roman"/>
          <w:color w:val="222222"/>
        </w:rPr>
        <w:t xml:space="preserve"> highlights </w:t>
      </w:r>
      <w:r w:rsidR="00AE4E66" w:rsidRPr="00107A37">
        <w:rPr>
          <w:rFonts w:ascii="Times New Roman" w:eastAsia="Times New Roman" w:hAnsi="Times New Roman" w:cs="Times New Roman"/>
          <w:color w:val="222222"/>
        </w:rPr>
        <w:lastRenderedPageBreak/>
        <w:t xml:space="preserve">indicate patients who had no detectable </w:t>
      </w:r>
      <w:r w:rsidR="008349D2" w:rsidRPr="00107A37">
        <w:rPr>
          <w:rFonts w:ascii="Times New Roman" w:eastAsia="Times New Roman" w:hAnsi="Times New Roman" w:cs="Times New Roman"/>
          <w:color w:val="222222"/>
        </w:rPr>
        <w:t>α-s</w:t>
      </w:r>
      <w:r w:rsidR="00AE4E66" w:rsidRPr="00107A37">
        <w:rPr>
          <w:rFonts w:ascii="Times New Roman" w:eastAsia="Times New Roman" w:hAnsi="Times New Roman" w:cs="Times New Roman"/>
          <w:color w:val="222222"/>
        </w:rPr>
        <w:t>ynuclein prior to the Norovirus infection but significant levels during the infection.</w:t>
      </w:r>
      <w:r w:rsidR="008349D2" w:rsidRPr="00107A37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</w:rPr>
        <w:t>Dn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native duodenum; Dg, grafted duodenum;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Jg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grafted jejunum;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Ilg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</w:t>
      </w:r>
      <w:r w:rsidRPr="00107A37">
        <w:rPr>
          <w:rFonts w:ascii="Times New Roman" w:eastAsia="Times New Roman" w:hAnsi="Times New Roman" w:cs="Times New Roman"/>
          <w:color w:val="222222"/>
        </w:rPr>
        <w:t>Grafted ileum.</w:t>
      </w:r>
      <w:proofErr w:type="gramEnd"/>
    </w:p>
    <w:p w:rsidR="00877686" w:rsidRDefault="00877686">
      <w:pPr>
        <w:rPr>
          <w:rFonts w:ascii="Times New Roman" w:hAnsi="Times New Roman" w:cs="Times New Roman"/>
          <w:b/>
        </w:rPr>
      </w:pPr>
    </w:p>
    <w:p w:rsidR="007B0F82" w:rsidRDefault="007B0F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77686" w:rsidRDefault="00877686">
      <w:pPr>
        <w:rPr>
          <w:rFonts w:ascii="Times New Roman" w:hAnsi="Times New Roman" w:cs="Times New Roman"/>
          <w:b/>
        </w:rPr>
      </w:pPr>
    </w:p>
    <w:p w:rsidR="00227F94" w:rsidRDefault="00227F94" w:rsidP="00227F94">
      <w:pPr>
        <w:rPr>
          <w:rFonts w:ascii="Times New Roman" w:hAnsi="Times New Roman" w:cs="Times New Roman"/>
          <w:b/>
        </w:rPr>
      </w:pPr>
    </w:p>
    <w:p w:rsidR="00F540C1" w:rsidRDefault="00AB32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S1</w:t>
      </w:r>
    </w:p>
    <w:p w:rsidR="002B3238" w:rsidRDefault="002B3238">
      <w:pPr>
        <w:rPr>
          <w:rFonts w:ascii="Times New Roman" w:hAnsi="Times New Roman" w:cs="Times New Roman"/>
          <w:b/>
        </w:rPr>
      </w:pPr>
    </w:p>
    <w:p w:rsidR="00F540C1" w:rsidRDefault="000356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 wp14:anchorId="0319D68C" wp14:editId="11486BE4">
            <wp:simplePos x="0" y="0"/>
            <wp:positionH relativeFrom="column">
              <wp:posOffset>-208915</wp:posOffset>
            </wp:positionH>
            <wp:positionV relativeFrom="paragraph">
              <wp:posOffset>-66040</wp:posOffset>
            </wp:positionV>
            <wp:extent cx="6340475" cy="4581525"/>
            <wp:effectExtent l="0" t="0" r="3175" b="9525"/>
            <wp:wrapTight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 4.tif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11965" r="39422" b="16809"/>
                    <a:stretch/>
                  </pic:blipFill>
                  <pic:spPr bwMode="auto">
                    <a:xfrm>
                      <a:off x="0" y="0"/>
                      <a:ext cx="6340475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0C1" w:rsidRDefault="00AB32EC" w:rsidP="00F540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S1</w:t>
      </w:r>
      <w:r w:rsidR="00F540C1">
        <w:rPr>
          <w:rFonts w:ascii="Times New Roman" w:hAnsi="Times New Roman" w:cs="Times New Roman"/>
          <w:b/>
        </w:rPr>
        <w:t xml:space="preserve"> LEGEND</w:t>
      </w:r>
    </w:p>
    <w:p w:rsidR="000356EA" w:rsidRDefault="00567E2F" w:rsidP="00F540C1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Dose dependent maturation of human dendritic cells </w:t>
      </w:r>
      <w:r w:rsidR="003F156C">
        <w:rPr>
          <w:rFonts w:ascii="Times New Roman" w:hAnsi="Times New Roman" w:cs="Times New Roman"/>
          <w:b/>
        </w:rPr>
        <w:t xml:space="preserve">by </w:t>
      </w:r>
      <w:r w:rsidRPr="00567E2F">
        <w:rPr>
          <w:rFonts w:ascii="Times New Roman" w:eastAsia="Times New Roman" w:hAnsi="Times New Roman" w:cs="Times New Roman"/>
          <w:b/>
          <w:color w:val="222222"/>
        </w:rPr>
        <w:t>α-synuclein</w:t>
      </w:r>
      <w:r>
        <w:rPr>
          <w:rFonts w:ascii="Times New Roman" w:eastAsia="Times New Roman" w:hAnsi="Times New Roman" w:cs="Times New Roman"/>
          <w:b/>
          <w:color w:val="222222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Human monocyte derived dendritic cells were incubated for 48 hours in the presence of </w:t>
      </w:r>
      <w:r w:rsidR="003F156C">
        <w:rPr>
          <w:rFonts w:ascii="Times New Roman" w:eastAsia="Times New Roman" w:hAnsi="Times New Roman" w:cs="Times New Roman"/>
          <w:color w:val="222222"/>
        </w:rPr>
        <w:t xml:space="preserve">either </w:t>
      </w:r>
      <w:r>
        <w:rPr>
          <w:rFonts w:ascii="Times New Roman" w:eastAsia="Times New Roman" w:hAnsi="Times New Roman" w:cs="Times New Roman"/>
          <w:color w:val="222222"/>
        </w:rPr>
        <w:t xml:space="preserve">monomeric </w:t>
      </w:r>
      <w:r w:rsidRPr="000356EA">
        <w:rPr>
          <w:rFonts w:ascii="Times New Roman" w:eastAsia="Times New Roman" w:hAnsi="Times New Roman" w:cs="Times New Roman"/>
          <w:color w:val="222222"/>
        </w:rPr>
        <w:t>α-synuclein</w:t>
      </w:r>
      <w:r>
        <w:rPr>
          <w:rFonts w:ascii="Times New Roman" w:eastAsia="Times New Roman" w:hAnsi="Times New Roman" w:cs="Times New Roman"/>
          <w:color w:val="222222"/>
        </w:rPr>
        <w:t xml:space="preserve">, </w:t>
      </w:r>
      <w:r w:rsidR="003F156C">
        <w:rPr>
          <w:rFonts w:ascii="Times New Roman" w:eastAsia="Times New Roman" w:hAnsi="Times New Roman" w:cs="Times New Roman"/>
          <w:color w:val="222222"/>
        </w:rPr>
        <w:t xml:space="preserve">or </w:t>
      </w:r>
      <w:r w:rsidR="00A150B3" w:rsidRPr="00A150B3">
        <w:rPr>
          <w:rFonts w:ascii="Times New Roman" w:eastAsia="Times New Roman" w:hAnsi="Times New Roman" w:cs="Times New Roman"/>
          <w:color w:val="222222"/>
        </w:rPr>
        <w:t xml:space="preserve">α-synuclein </w:t>
      </w:r>
      <w:r w:rsidR="003F156C">
        <w:rPr>
          <w:rFonts w:ascii="Times New Roman" w:eastAsia="Times New Roman" w:hAnsi="Times New Roman" w:cs="Times New Roman"/>
          <w:color w:val="222222"/>
        </w:rPr>
        <w:t xml:space="preserve">acetylated </w:t>
      </w:r>
      <w:r>
        <w:rPr>
          <w:rFonts w:ascii="Times New Roman" w:eastAsia="Times New Roman" w:hAnsi="Times New Roman" w:cs="Times New Roman"/>
          <w:color w:val="222222"/>
        </w:rPr>
        <w:t>N-terminal peptide</w:t>
      </w:r>
      <w:r w:rsidR="003F156C">
        <w:rPr>
          <w:rFonts w:ascii="Times New Roman" w:eastAsia="Times New Roman" w:hAnsi="Times New Roman" w:cs="Times New Roman"/>
          <w:color w:val="222222"/>
        </w:rPr>
        <w:t xml:space="preserve"> 1-21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at the indicated concentrations, immunostained for surface markers</w:t>
      </w:r>
      <w:r w:rsidR="00A150B3">
        <w:rPr>
          <w:rFonts w:ascii="Times New Roman" w:hAnsi="Times New Roman" w:cs="Times New Roman"/>
        </w:rPr>
        <w:t xml:space="preserve"> (</w:t>
      </w:r>
      <w:r w:rsidR="00A150B3" w:rsidRPr="00A150B3">
        <w:rPr>
          <w:rFonts w:ascii="Times New Roman" w:hAnsi="Times New Roman" w:cs="Times New Roman"/>
        </w:rPr>
        <w:t>CD80,</w:t>
      </w:r>
      <w:r w:rsidR="00A150B3">
        <w:rPr>
          <w:rFonts w:ascii="Times New Roman" w:hAnsi="Times New Roman" w:cs="Times New Roman"/>
        </w:rPr>
        <w:t xml:space="preserve"> </w:t>
      </w:r>
      <w:r w:rsidR="00A150B3" w:rsidRPr="00A150B3">
        <w:rPr>
          <w:rFonts w:ascii="Times New Roman" w:hAnsi="Times New Roman" w:cs="Times New Roman"/>
        </w:rPr>
        <w:t>CD83, and CD86</w:t>
      </w:r>
      <w:r w:rsidR="00A150B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and sorted by flow cytometry.</w:t>
      </w:r>
      <w:r w:rsidR="000356EA">
        <w:rPr>
          <w:rFonts w:ascii="Times New Roman" w:hAnsi="Times New Roman" w:cs="Times New Roman"/>
          <w:b/>
        </w:rPr>
        <w:br w:type="page"/>
      </w:r>
    </w:p>
    <w:p w:rsidR="00592420" w:rsidRDefault="00AB32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FIGURE S2</w:t>
      </w:r>
    </w:p>
    <w:p w:rsidR="0049588C" w:rsidRDefault="00A150B3" w:rsidP="00F37B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225FB1B2" wp14:editId="4C30B60E">
            <wp:simplePos x="0" y="0"/>
            <wp:positionH relativeFrom="column">
              <wp:posOffset>29210</wp:posOffset>
            </wp:positionH>
            <wp:positionV relativeFrom="paragraph">
              <wp:posOffset>309245</wp:posOffset>
            </wp:positionV>
            <wp:extent cx="6828790" cy="5314950"/>
            <wp:effectExtent l="0" t="0" r="0" b="0"/>
            <wp:wrapTight wrapText="bothSides">
              <wp:wrapPolygon edited="0">
                <wp:start x="0" y="0"/>
                <wp:lineTo x="0" y="21523"/>
                <wp:lineTo x="21512" y="21523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 versions Summary-aS on hDC LPS involvement (1) 3.10.17.tif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1" r="8814"/>
                    <a:stretch/>
                  </pic:blipFill>
                  <pic:spPr bwMode="auto">
                    <a:xfrm>
                      <a:off x="0" y="0"/>
                      <a:ext cx="682879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0B3" w:rsidRDefault="00AB32EC" w:rsidP="00F37BB9">
      <w:pPr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</w:rPr>
        <w:t>FIGURE S2</w:t>
      </w:r>
      <w:r w:rsidR="00A150B3">
        <w:rPr>
          <w:rFonts w:ascii="Times New Roman" w:hAnsi="Times New Roman" w:cs="Times New Roman"/>
          <w:b/>
        </w:rPr>
        <w:t xml:space="preserve"> LEGEND</w:t>
      </w:r>
    </w:p>
    <w:p w:rsidR="0077107D" w:rsidRDefault="000356EA" w:rsidP="00F37BB9">
      <w:pPr>
        <w:rPr>
          <w:rFonts w:ascii="Times New Roman" w:hAnsi="Times New Roman" w:cs="Times New Roman"/>
        </w:rPr>
      </w:pPr>
      <w:proofErr w:type="gramStart"/>
      <w:r w:rsidRPr="000356EA">
        <w:rPr>
          <w:rFonts w:ascii="Times New Roman" w:eastAsia="Times New Roman" w:hAnsi="Times New Roman" w:cs="Times New Roman"/>
          <w:b/>
          <w:color w:val="222222"/>
        </w:rPr>
        <w:t>α-Synuclein</w:t>
      </w:r>
      <w:proofErr w:type="gramEnd"/>
      <w:r>
        <w:rPr>
          <w:rFonts w:ascii="Times New Roman" w:eastAsia="Times New Roman" w:hAnsi="Times New Roman" w:cs="Times New Roman"/>
          <w:b/>
          <w:color w:val="222222"/>
        </w:rPr>
        <w:t xml:space="preserve"> stimulates human dendritic cell maturation in the presence of TLR4 blockade.</w:t>
      </w:r>
      <w:r>
        <w:rPr>
          <w:rFonts w:ascii="Times New Roman" w:eastAsia="Times New Roman" w:hAnsi="Times New Roman" w:cs="Times New Roman"/>
          <w:color w:val="222222"/>
        </w:rPr>
        <w:t xml:space="preserve"> Human monocyte derived dendritic cells were incubated for 48 </w:t>
      </w:r>
      <w:r w:rsidR="00A150B3">
        <w:rPr>
          <w:rFonts w:ascii="Times New Roman" w:eastAsia="Times New Roman" w:hAnsi="Times New Roman" w:cs="Times New Roman"/>
          <w:color w:val="222222"/>
        </w:rPr>
        <w:t xml:space="preserve">hours </w:t>
      </w:r>
      <w:r>
        <w:rPr>
          <w:rFonts w:ascii="Times New Roman" w:eastAsia="Times New Roman" w:hAnsi="Times New Roman" w:cs="Times New Roman"/>
          <w:color w:val="222222"/>
        </w:rPr>
        <w:t xml:space="preserve">in the presence of </w:t>
      </w:r>
      <w:r w:rsidRPr="000356EA">
        <w:rPr>
          <w:rFonts w:ascii="Times New Roman" w:eastAsia="Times New Roman" w:hAnsi="Times New Roman" w:cs="Times New Roman"/>
          <w:color w:val="222222"/>
        </w:rPr>
        <w:t>α-synuclein</w:t>
      </w:r>
      <w:r>
        <w:rPr>
          <w:rFonts w:ascii="Times New Roman" w:eastAsia="Times New Roman" w:hAnsi="Times New Roman" w:cs="Times New Roman"/>
          <w:color w:val="222222"/>
        </w:rPr>
        <w:t xml:space="preserve"> monomer alone or anti-TLR4</w:t>
      </w:r>
      <w:r w:rsidR="00A150B3">
        <w:rPr>
          <w:rFonts w:ascii="Times New Roman" w:eastAsia="Times New Roman" w:hAnsi="Times New Roman" w:cs="Times New Roman"/>
          <w:color w:val="222222"/>
        </w:rPr>
        <w:t xml:space="preserve"> antibody</w:t>
      </w:r>
      <w:r w:rsidR="00567E2F">
        <w:rPr>
          <w:rFonts w:ascii="Times New Roman" w:eastAsia="Times New Roman" w:hAnsi="Times New Roman" w:cs="Times New Roman"/>
          <w:color w:val="222222"/>
        </w:rPr>
        <w:t xml:space="preserve">, </w:t>
      </w:r>
      <w:r w:rsidR="00A150B3">
        <w:rPr>
          <w:rFonts w:ascii="Times New Roman" w:hAnsi="Times New Roman" w:cs="Times New Roman"/>
        </w:rPr>
        <w:t>immunostained for surface markers (</w:t>
      </w:r>
      <w:r w:rsidR="00A150B3" w:rsidRPr="00A150B3">
        <w:rPr>
          <w:rFonts w:ascii="Times New Roman" w:hAnsi="Times New Roman" w:cs="Times New Roman"/>
        </w:rPr>
        <w:t>CD80,</w:t>
      </w:r>
      <w:r w:rsidR="00A150B3">
        <w:rPr>
          <w:rFonts w:ascii="Times New Roman" w:hAnsi="Times New Roman" w:cs="Times New Roman"/>
        </w:rPr>
        <w:t xml:space="preserve"> </w:t>
      </w:r>
      <w:r w:rsidR="00A150B3" w:rsidRPr="00A150B3">
        <w:rPr>
          <w:rFonts w:ascii="Times New Roman" w:hAnsi="Times New Roman" w:cs="Times New Roman"/>
        </w:rPr>
        <w:t>CD83, and CD86</w:t>
      </w:r>
      <w:r w:rsidR="00A150B3">
        <w:rPr>
          <w:rFonts w:ascii="Times New Roman" w:hAnsi="Times New Roman" w:cs="Times New Roman"/>
        </w:rPr>
        <w:t>), and sorted by flow cytometry.</w:t>
      </w:r>
    </w:p>
    <w:sectPr w:rsidR="0077107D" w:rsidSect="005B1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C0" w:rsidRDefault="007666C0" w:rsidP="00AE4E66">
      <w:pPr>
        <w:spacing w:after="0" w:line="240" w:lineRule="auto"/>
      </w:pPr>
      <w:r>
        <w:separator/>
      </w:r>
    </w:p>
  </w:endnote>
  <w:endnote w:type="continuationSeparator" w:id="0">
    <w:p w:rsidR="007666C0" w:rsidRDefault="007666C0" w:rsidP="00A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C0" w:rsidRDefault="007666C0" w:rsidP="00AE4E66">
      <w:pPr>
        <w:spacing w:after="0" w:line="240" w:lineRule="auto"/>
      </w:pPr>
      <w:r>
        <w:separator/>
      </w:r>
    </w:p>
  </w:footnote>
  <w:footnote w:type="continuationSeparator" w:id="0">
    <w:p w:rsidR="007666C0" w:rsidRDefault="007666C0" w:rsidP="00AE4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33E"/>
    <w:multiLevelType w:val="hybridMultilevel"/>
    <w:tmpl w:val="F55ED52A"/>
    <w:lvl w:ilvl="0" w:tplc="AE4E76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618D"/>
    <w:multiLevelType w:val="hybridMultilevel"/>
    <w:tmpl w:val="17B6EDE8"/>
    <w:lvl w:ilvl="0" w:tplc="6C80FA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475F7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E5E442C"/>
    <w:multiLevelType w:val="hybridMultilevel"/>
    <w:tmpl w:val="B5DC6464"/>
    <w:lvl w:ilvl="0" w:tplc="ED22C92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14F64"/>
    <w:multiLevelType w:val="hybridMultilevel"/>
    <w:tmpl w:val="BE36D656"/>
    <w:lvl w:ilvl="0" w:tplc="3DFA157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A6538"/>
    <w:multiLevelType w:val="hybridMultilevel"/>
    <w:tmpl w:val="E5B4BF9C"/>
    <w:lvl w:ilvl="0" w:tplc="0DB077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776F4"/>
    <w:multiLevelType w:val="hybridMultilevel"/>
    <w:tmpl w:val="FCA024F6"/>
    <w:lvl w:ilvl="0" w:tplc="CEE83C1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2451"/>
    <w:multiLevelType w:val="hybridMultilevel"/>
    <w:tmpl w:val="2BA4B86E"/>
    <w:lvl w:ilvl="0" w:tplc="6F78C2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olzenberg, Ethan">
    <w15:presenceInfo w15:providerId="None" w15:userId="Stolzenberg, Et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pppftx9hptt96epve9pv55j0atfwt9wfxtp&quot;&gt;ENTERIN&lt;record-ids&gt;&lt;item&gt;1025&lt;/item&gt;&lt;item&gt;1039&lt;/item&gt;&lt;item&gt;1076&lt;/item&gt;&lt;item&gt;1253&lt;/item&gt;&lt;/record-ids&gt;&lt;/item&gt;&lt;/Libraries&gt;"/>
  </w:docVars>
  <w:rsids>
    <w:rsidRoot w:val="00F37BB9"/>
    <w:rsid w:val="00003B3D"/>
    <w:rsid w:val="000052AE"/>
    <w:rsid w:val="00024398"/>
    <w:rsid w:val="000244CD"/>
    <w:rsid w:val="00027169"/>
    <w:rsid w:val="000356EA"/>
    <w:rsid w:val="00044354"/>
    <w:rsid w:val="00072EDA"/>
    <w:rsid w:val="000733A0"/>
    <w:rsid w:val="000866E7"/>
    <w:rsid w:val="0009150B"/>
    <w:rsid w:val="000A62AE"/>
    <w:rsid w:val="000A792D"/>
    <w:rsid w:val="000C4288"/>
    <w:rsid w:val="000F18DA"/>
    <w:rsid w:val="000F71B0"/>
    <w:rsid w:val="001009B3"/>
    <w:rsid w:val="00107A37"/>
    <w:rsid w:val="00110B42"/>
    <w:rsid w:val="00113EF5"/>
    <w:rsid w:val="001339B2"/>
    <w:rsid w:val="00146914"/>
    <w:rsid w:val="00157D4A"/>
    <w:rsid w:val="00186FD4"/>
    <w:rsid w:val="00187F6D"/>
    <w:rsid w:val="00190574"/>
    <w:rsid w:val="0019455A"/>
    <w:rsid w:val="001B7075"/>
    <w:rsid w:val="001C348D"/>
    <w:rsid w:val="001D2AEE"/>
    <w:rsid w:val="001D64F7"/>
    <w:rsid w:val="001E2855"/>
    <w:rsid w:val="001F15EF"/>
    <w:rsid w:val="001F545E"/>
    <w:rsid w:val="0020450A"/>
    <w:rsid w:val="00210AE9"/>
    <w:rsid w:val="002168AB"/>
    <w:rsid w:val="0022587D"/>
    <w:rsid w:val="00227F94"/>
    <w:rsid w:val="00273C81"/>
    <w:rsid w:val="00274A5F"/>
    <w:rsid w:val="0027794B"/>
    <w:rsid w:val="00277BB9"/>
    <w:rsid w:val="00281B29"/>
    <w:rsid w:val="00294C1E"/>
    <w:rsid w:val="002971EC"/>
    <w:rsid w:val="002B3238"/>
    <w:rsid w:val="002D15F6"/>
    <w:rsid w:val="002D4FE1"/>
    <w:rsid w:val="002D5317"/>
    <w:rsid w:val="002E6CB8"/>
    <w:rsid w:val="002E6E7D"/>
    <w:rsid w:val="0030236D"/>
    <w:rsid w:val="0031757C"/>
    <w:rsid w:val="003228AB"/>
    <w:rsid w:val="00346BA1"/>
    <w:rsid w:val="00362F4F"/>
    <w:rsid w:val="003650C8"/>
    <w:rsid w:val="00373705"/>
    <w:rsid w:val="00387EDF"/>
    <w:rsid w:val="00392D9D"/>
    <w:rsid w:val="0039429B"/>
    <w:rsid w:val="00394307"/>
    <w:rsid w:val="0039609E"/>
    <w:rsid w:val="0039786E"/>
    <w:rsid w:val="00397935"/>
    <w:rsid w:val="003A0DB2"/>
    <w:rsid w:val="003E7C8C"/>
    <w:rsid w:val="003F156C"/>
    <w:rsid w:val="0041068D"/>
    <w:rsid w:val="00416355"/>
    <w:rsid w:val="004237E0"/>
    <w:rsid w:val="00430F16"/>
    <w:rsid w:val="0043220A"/>
    <w:rsid w:val="004531B2"/>
    <w:rsid w:val="0049588C"/>
    <w:rsid w:val="004B40AE"/>
    <w:rsid w:val="004B7EFE"/>
    <w:rsid w:val="00503162"/>
    <w:rsid w:val="0051270C"/>
    <w:rsid w:val="005152A8"/>
    <w:rsid w:val="005523EF"/>
    <w:rsid w:val="00567E2F"/>
    <w:rsid w:val="0058353B"/>
    <w:rsid w:val="00591ABD"/>
    <w:rsid w:val="00592420"/>
    <w:rsid w:val="005B105A"/>
    <w:rsid w:val="005C0BA6"/>
    <w:rsid w:val="005F3EA2"/>
    <w:rsid w:val="006038A2"/>
    <w:rsid w:val="006538B5"/>
    <w:rsid w:val="00661E84"/>
    <w:rsid w:val="00670F9E"/>
    <w:rsid w:val="00676AFF"/>
    <w:rsid w:val="00683673"/>
    <w:rsid w:val="0068368D"/>
    <w:rsid w:val="00685DAB"/>
    <w:rsid w:val="006A2567"/>
    <w:rsid w:val="006B3F20"/>
    <w:rsid w:val="006D1F17"/>
    <w:rsid w:val="006D6AD5"/>
    <w:rsid w:val="006F173C"/>
    <w:rsid w:val="006F2B0F"/>
    <w:rsid w:val="00727824"/>
    <w:rsid w:val="0073452C"/>
    <w:rsid w:val="00761386"/>
    <w:rsid w:val="00764789"/>
    <w:rsid w:val="007649E9"/>
    <w:rsid w:val="007666C0"/>
    <w:rsid w:val="00770692"/>
    <w:rsid w:val="0077107D"/>
    <w:rsid w:val="0077462A"/>
    <w:rsid w:val="00786123"/>
    <w:rsid w:val="00792AFB"/>
    <w:rsid w:val="007B0F82"/>
    <w:rsid w:val="007C368E"/>
    <w:rsid w:val="007D1386"/>
    <w:rsid w:val="007D2468"/>
    <w:rsid w:val="007D7237"/>
    <w:rsid w:val="007E1FF6"/>
    <w:rsid w:val="007F203A"/>
    <w:rsid w:val="007F37AC"/>
    <w:rsid w:val="007F6775"/>
    <w:rsid w:val="00803147"/>
    <w:rsid w:val="00807D8D"/>
    <w:rsid w:val="0081291C"/>
    <w:rsid w:val="00817E29"/>
    <w:rsid w:val="008235C4"/>
    <w:rsid w:val="008241DF"/>
    <w:rsid w:val="00827223"/>
    <w:rsid w:val="00831B93"/>
    <w:rsid w:val="008349D2"/>
    <w:rsid w:val="00835413"/>
    <w:rsid w:val="0085015A"/>
    <w:rsid w:val="00854423"/>
    <w:rsid w:val="00860F6A"/>
    <w:rsid w:val="00867752"/>
    <w:rsid w:val="008704D9"/>
    <w:rsid w:val="00877686"/>
    <w:rsid w:val="008A6F29"/>
    <w:rsid w:val="008A7A67"/>
    <w:rsid w:val="008D1D0A"/>
    <w:rsid w:val="008E06DC"/>
    <w:rsid w:val="00910945"/>
    <w:rsid w:val="009376A8"/>
    <w:rsid w:val="0095671A"/>
    <w:rsid w:val="009600C9"/>
    <w:rsid w:val="00962D55"/>
    <w:rsid w:val="00967EA5"/>
    <w:rsid w:val="00974579"/>
    <w:rsid w:val="00977939"/>
    <w:rsid w:val="00984F95"/>
    <w:rsid w:val="0098675D"/>
    <w:rsid w:val="00994B44"/>
    <w:rsid w:val="00996864"/>
    <w:rsid w:val="009C25AD"/>
    <w:rsid w:val="009E3DD5"/>
    <w:rsid w:val="00A150B3"/>
    <w:rsid w:val="00A7149A"/>
    <w:rsid w:val="00A71755"/>
    <w:rsid w:val="00A72A43"/>
    <w:rsid w:val="00A84EAE"/>
    <w:rsid w:val="00A95E3B"/>
    <w:rsid w:val="00AA77EF"/>
    <w:rsid w:val="00AB2900"/>
    <w:rsid w:val="00AB32EC"/>
    <w:rsid w:val="00AB7BB4"/>
    <w:rsid w:val="00AC6301"/>
    <w:rsid w:val="00AC6E9A"/>
    <w:rsid w:val="00AD453F"/>
    <w:rsid w:val="00AE4E66"/>
    <w:rsid w:val="00AF0106"/>
    <w:rsid w:val="00AF0904"/>
    <w:rsid w:val="00AF1F10"/>
    <w:rsid w:val="00B106ED"/>
    <w:rsid w:val="00B1759F"/>
    <w:rsid w:val="00B17A63"/>
    <w:rsid w:val="00B44A22"/>
    <w:rsid w:val="00B5016C"/>
    <w:rsid w:val="00B538B6"/>
    <w:rsid w:val="00B53FC7"/>
    <w:rsid w:val="00B55965"/>
    <w:rsid w:val="00B80E8B"/>
    <w:rsid w:val="00B95500"/>
    <w:rsid w:val="00BA315C"/>
    <w:rsid w:val="00BA31A1"/>
    <w:rsid w:val="00BC4B7C"/>
    <w:rsid w:val="00BD75EB"/>
    <w:rsid w:val="00BF44B6"/>
    <w:rsid w:val="00C02249"/>
    <w:rsid w:val="00C170C3"/>
    <w:rsid w:val="00C22D8A"/>
    <w:rsid w:val="00C32E76"/>
    <w:rsid w:val="00C53B9E"/>
    <w:rsid w:val="00C61A3E"/>
    <w:rsid w:val="00C7199A"/>
    <w:rsid w:val="00C81B30"/>
    <w:rsid w:val="00C97812"/>
    <w:rsid w:val="00CA3D03"/>
    <w:rsid w:val="00CB5F33"/>
    <w:rsid w:val="00CD2D47"/>
    <w:rsid w:val="00CE7FEB"/>
    <w:rsid w:val="00CF5D40"/>
    <w:rsid w:val="00CF65D9"/>
    <w:rsid w:val="00D17BBA"/>
    <w:rsid w:val="00D26F06"/>
    <w:rsid w:val="00D43B5A"/>
    <w:rsid w:val="00D46629"/>
    <w:rsid w:val="00D46D9F"/>
    <w:rsid w:val="00D50A1E"/>
    <w:rsid w:val="00D535F7"/>
    <w:rsid w:val="00D60A5D"/>
    <w:rsid w:val="00D707F5"/>
    <w:rsid w:val="00D70AC2"/>
    <w:rsid w:val="00D756A7"/>
    <w:rsid w:val="00D84CF3"/>
    <w:rsid w:val="00D90D67"/>
    <w:rsid w:val="00D91A91"/>
    <w:rsid w:val="00D92906"/>
    <w:rsid w:val="00DB06E3"/>
    <w:rsid w:val="00DB21E1"/>
    <w:rsid w:val="00DC7C80"/>
    <w:rsid w:val="00DD18B7"/>
    <w:rsid w:val="00DE5F45"/>
    <w:rsid w:val="00DF6583"/>
    <w:rsid w:val="00E0183E"/>
    <w:rsid w:val="00E01BDC"/>
    <w:rsid w:val="00E0510D"/>
    <w:rsid w:val="00E056E8"/>
    <w:rsid w:val="00E22923"/>
    <w:rsid w:val="00E2767E"/>
    <w:rsid w:val="00E3100D"/>
    <w:rsid w:val="00E37435"/>
    <w:rsid w:val="00E63B46"/>
    <w:rsid w:val="00E81ACA"/>
    <w:rsid w:val="00E96EE8"/>
    <w:rsid w:val="00EA086C"/>
    <w:rsid w:val="00EA2039"/>
    <w:rsid w:val="00EA4D36"/>
    <w:rsid w:val="00EE12D2"/>
    <w:rsid w:val="00EE2ECD"/>
    <w:rsid w:val="00EE50D5"/>
    <w:rsid w:val="00EF01FB"/>
    <w:rsid w:val="00F075E4"/>
    <w:rsid w:val="00F10756"/>
    <w:rsid w:val="00F17597"/>
    <w:rsid w:val="00F37BB9"/>
    <w:rsid w:val="00F540C1"/>
    <w:rsid w:val="00F956AF"/>
    <w:rsid w:val="00FA364E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273C81"/>
    <w:pPr>
      <w:numPr>
        <w:numId w:val="1"/>
      </w:numPr>
    </w:pPr>
  </w:style>
  <w:style w:type="table" w:styleId="TableGrid">
    <w:name w:val="Table Grid"/>
    <w:basedOn w:val="TableNormal"/>
    <w:uiPriority w:val="59"/>
    <w:rsid w:val="00F37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E66"/>
  </w:style>
  <w:style w:type="paragraph" w:styleId="Footer">
    <w:name w:val="footer"/>
    <w:basedOn w:val="Normal"/>
    <w:link w:val="FooterChar"/>
    <w:uiPriority w:val="99"/>
    <w:unhideWhenUsed/>
    <w:rsid w:val="00AE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E66"/>
  </w:style>
  <w:style w:type="paragraph" w:styleId="ListParagraph">
    <w:name w:val="List Paragraph"/>
    <w:basedOn w:val="Normal"/>
    <w:uiPriority w:val="34"/>
    <w:qFormat/>
    <w:rsid w:val="0030236D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77107D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7107D"/>
    <w:rPr>
      <w:rFonts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77107D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7107D"/>
    <w:rPr>
      <w:rFonts w:cs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273C81"/>
    <w:pPr>
      <w:numPr>
        <w:numId w:val="1"/>
      </w:numPr>
    </w:pPr>
  </w:style>
  <w:style w:type="table" w:styleId="TableGrid">
    <w:name w:val="Table Grid"/>
    <w:basedOn w:val="TableNormal"/>
    <w:uiPriority w:val="59"/>
    <w:rsid w:val="00F37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E66"/>
  </w:style>
  <w:style w:type="paragraph" w:styleId="Footer">
    <w:name w:val="footer"/>
    <w:basedOn w:val="Normal"/>
    <w:link w:val="FooterChar"/>
    <w:uiPriority w:val="99"/>
    <w:unhideWhenUsed/>
    <w:rsid w:val="00AE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E66"/>
  </w:style>
  <w:style w:type="paragraph" w:styleId="ListParagraph">
    <w:name w:val="List Paragraph"/>
    <w:basedOn w:val="Normal"/>
    <w:uiPriority w:val="34"/>
    <w:qFormat/>
    <w:rsid w:val="0030236D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77107D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7107D"/>
    <w:rPr>
      <w:rFonts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77107D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7107D"/>
    <w:rPr>
      <w:rFonts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25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81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392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2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29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74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3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041E-69B2-405D-9E38-C8386579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2193</Words>
  <Characters>10488</Characters>
  <Application>Microsoft Office Word</Application>
  <DocSecurity>0</DocSecurity>
  <Lines>249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2017-02-16T17:19:00Z</cp:lastPrinted>
  <dcterms:created xsi:type="dcterms:W3CDTF">2017-05-19T15:39:00Z</dcterms:created>
  <dcterms:modified xsi:type="dcterms:W3CDTF">2017-05-19T15:39:00Z</dcterms:modified>
</cp:coreProperties>
</file>